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4b SN-19073 (Sachsen) — Erlaubnisverfahren für Sportwetten, Online-Poker und virtuelle Automatenspiele</w:t>
      </w:r>
    </w:p>
    <w:p>
      <w:r>
        <w:rPr>
          <w:color w:val="555555"/>
          <w:sz w:val="18"/>
        </w:rPr>
        <w:t xml:space="preserve">Glücksspielstaatsvertrag 2021</w:t>
      </w:r>
    </w:p>
    <w:p>
      <w:r>
        <w:rPr>
          <w:color w:val="555555"/>
          <w:sz w:val="18"/>
        </w:rPr>
        <w:t xml:space="preserve">Landesrecht Sachsen</w:t>
      </w:r>
    </w:p>
    <w:p>
      <w:r>
        <w:rPr>
          <w:color w:val="555555"/>
          <w:sz w:val="18"/>
        </w:rPr>
        <w:t xml:space="preserve">Stand: 27.08.2026 (konsolidierte Textfassung, kein amtliches Inkrafttretensdatum)</w:t>
      </w:r>
    </w:p>
    <w:p>
      <w:r>
        <w:t xml:space="preserve">(1) Die Erlaubnis für die Veranstaltung von Sportwetten, Online-Poker oder virtuellen Automatenspielen wird auf Antrag erteilt. Der Antrag bedarf der Schriftform. Er muss alle Angaben, Auskünfte, Nachweise und Unterlagen in deutscher Sprache enthalten, welche für die Prüfung der Voraussetzungen nach § 4a Absatz 1 erforderlich sind. Dazu gehören insbesondere:</w:t>
      </w:r>
    </w:p>
    <w:p>
      <w:r>
        <w:t xml:space="preserve">1. eine Darstellung der unmittelbaren und mittelbaren Beteiligungen sowie der Kapital- und Stimmrechtsverhältnisse bei dem Antragsteller und den mit ihm im Sinne des Aktiengesetzes verbundenen Unternehmen sowie Angaben über Angehörige im Sinne des § 15 der Abgabenordnung unter den Beteiligten; gleiches gilt für Vertreter der Person oder der Personengesellschaft oder des Mitglieds eines Organs einer juristischen Person. Daneben sind der Gesellschaftsvertrag und die satzungsrechtlichen Bestimmungen des Antragstellers sowie Vereinbarungen, die zwischen dem Antragsteller und unmittelbar oder mittelbar Beteiligten bestehen und sich auf die Veranstaltung von Glücksspielen beziehen, vorzulegen,</w:t>
      </w:r>
    </w:p>
    <w:p>
      <w:r>
        <w:t xml:space="preserve">2. eine Darstellung der Maßnahmen zur Gewährleistung der öffentlichen Sicherheit und Ordnung und der sonstigen öffentlichen Belange unter besonderer Berücksichtigung der IT- und Datensicherheit (Sicherheitskonzept),</w:t>
      </w:r>
    </w:p>
    <w:p>
      <w:r>
        <w:t xml:space="preserve">3. ein Sozialkonzept einschließlich der Maßnahmen zur Sicherstellung des Ausschlusses Minderjähriger und gesperrter Spieler,</w:t>
      </w:r>
    </w:p>
    <w:p>
      <w:r>
        <w:t xml:space="preserve">4. eine Darstellung der Wirtschaftlichkeit unter Berücksichtigung der Abgabenpflichten (Wirtschaftlichkeitskonzept),</w:t>
      </w:r>
    </w:p>
    <w:p>
      <w:r>
        <w:t xml:space="preserve">5. eine Erklärung der Übernahme der Kosten für die Überprüfung des Sicherheits-, Sozial- und Wirtschaftlichkeitskonzepts und, soweit erforderlich, sonstiger Unterlagen durch einen von der zuständigen Behörde beigezogenen Sachverständigen oder Wirtschaftsprüfer,</w:t>
      </w:r>
    </w:p>
    <w:p>
      <w:r>
        <w:t xml:space="preserve">6. eine Verpflichtungserklärung des Antragstellers, weder selbst noch durch verbundene Unternehmen unerlaubtes Glücksspiel zu veranstalten oder zu vermitteln, und</w:t>
      </w:r>
    </w:p>
    <w:p>
      <w:r>
        <w:t xml:space="preserve">7. eine Erklärung des Antragstellers, dass die vorgelegten Unterlagen und Angaben vollständig sind.</w:t>
      </w:r>
    </w:p>
    <w:p>
      <w:r>
        <w:t xml:space="preserve">Nachweise und Unterlagen aus einem anderen Mitgliedstaat der Europäischen Union oder einem anderen Vertragsstaat des Abkommens über den Europäischen Wirtschaftsraum stehen inländischen Nachweisen und Unterlagen gleich, wenn aus ihnen hervorgeht, dass die Anforderungen der in Satz 3 genannten Voraussetzungen erfüllt sind. Die Unterlagen sind auf Kosten des Antragstellers in beglaubigter Kopie und beglaubigter deutscher Übersetzung vorzulegen.</w:t>
      </w:r>
    </w:p>
    <w:p>
      <w:r>
        <w:t xml:space="preserve">(2) Die zuständige Behörde kann die Antragsteller zur Prüfung der in Absatz 1 Satz 4 genannten Voraussetzungen zur Ergänzung und zur Vorlage weiterer Angaben, Nachweise und Unterlagen in deutscher Sprache auffordern. Zur Beseitigung von Zweifeln an der Zuverlässigkeit ist sie, sofern nicht bereits andere Gründe einer Erlaubniserteilung entgegenstehen, befugt, Erkenntnisse von in- und ausländischen Polizei- und Strafverfolgungsbehörden, insbesondere zu den Voraussetzungen nach § 4a Absatz 1 Nummer 1 Buchstabe c, abzufragen. Die nach Satz 2 erhobenen Daten erfolgloser Antragsteller dürfen zu Zwecken der Überprüfung auch über den Zeitpunkt der behördlichen Entscheidung hinaus verarbeitet werden und werden spätestens mit Ablauf des Kalenderjahres, das auf den Eintritt der Bestandskraft der Ablehnung des Antrags auf Erteilung der Erlaubnis folgt, gelöscht. Ist für die Prüfung im Erlaubnisverfahren ein Sachverhalt bedeutsam, der sich auf Vorgänge außerhalb des Geltungsbereiches dieses Staatsvertrags bezieht, so hat der Antragsteller diesen Sachverhalt aufzuklären und die erforderlichen Beweismittel zu beschaffen. Er hat dabei alle für ihn bestehenden rechtlichen und tatsächlichen Möglichkeiten auszuschöpfen. Der Antragsteller kann sich nicht darauf berufen, dass er Sachverhalte nicht aufklären oder Beweismittel nicht beschaffen kann, wenn er sich nach Lage des Falles bei der Gestaltung seiner Verhältnisse die Möglichkeit dazu hätte beschaffen oder einräumen lassen können.</w:t>
      </w:r>
    </w:p>
    <w:p>
      <w:r>
        <w:t xml:space="preserve">(3) Die im Rahmen des Erlaubnisverfahrens Auskunfts- und Vorlagepflichtigen haben jede Änderung der maßgeblichen Umstände nach Antragstellung unverzüglich der zuständigen Behörde mitzuteilen und geplante Veränderungen von Beteiligungsverhältnissen oder sonstigen Einflüssen während des Erlaubnisverfahrens der zuständigen Behörde in Textform anzuzeigen.</w:t>
      </w:r>
    </w:p>
    <w:p>
      <w:r>
        <w:rPr>
          <w:color w:val="555555"/>
          <w:sz w:val="17"/>
        </w:rPr>
        <w:t xml:space="preserve">Zitiervorschlag: § 4b SN-19073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https://recht.nulegal.eu/gesetze/SN-19073/4b</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