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SN-19073 (Sachsen) — Besondere Erlaubnisvoraussetzungen für Sportwetten, Online-Poker und virtuelle Automatenspiele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Eine Erlaubnis für die Veranstaltung von Sportwetten, Online-Poker und von virtuellen Automatenspielen darf nur erteilt werden, wenn</w:t>
      </w:r>
    </w:p>
    <w:p>
      <w:r>
        <w:t xml:space="preserve">1. (erweiterte Zuverlässigkeit)</w:t>
      </w:r>
    </w:p>
    <w:p>
      <w:r>
        <w:t xml:space="preserve">a)</w:t>
      </w:r>
    </w:p>
    <w:p>
      <w:r>
        <w:t xml:space="preserve">die Inhaber- und Beteiligungsverhältnisse beim Antragsteller vollständig offengelegt sind; bei Personengesellschaften sind die Identität und die Adressen aller Gesellschafter, Anteilseigner oder sonstigen Kapitalgeber und bei juristischen Personen des Privatrechts von solchen, die mehr als fünf Prozent des Grundkapitals halten oder mehr als fünf Prozent der Stimmrechte ausüben, sowie generell alle Treuhandverhältnisse anzugeben,</w:t>
      </w:r>
    </w:p>
    <w:p>
      <w:r>
        <w:t xml:space="preserve">b)</w:t>
      </w:r>
    </w:p>
    <w:p>
      <w:r>
        <w:t xml:space="preserve">der Antragsteller und die von ihm beauftragten verantwortlichen Personen die für die Veranstaltung öffentlicher Glücksspiele erforderliche Zuverlässigkeit und Sachkunde besitzen und die Gewähr dafür bieten, dass die Veranstaltung ordnungsgemäß und für die Spielteilnehmer sowie die Erlaubnisbehörde nachvollziehbar durchgeführt wird; bei juristischen Personen und Personengesellschaften müssen alle vertretungsbefugten Personen die Voraussetzungen der Zuverlässigkeit und Sachkunde besitzen,</w:t>
      </w:r>
    </w:p>
    <w:p>
      <w:r>
        <w:t xml:space="preserve">c)</w:t>
      </w:r>
    </w:p>
    <w:p>
      <w:r>
        <w:t xml:space="preserve">die rechtmäßige Herkunft der für die Veranstaltung öffentlicher Glücksspiele erforderlichen Mittel dargelegt ist,</w:t>
      </w:r>
    </w:p>
    <w:p>
      <w:r>
        <w:t xml:space="preserve">d)</w:t>
      </w:r>
    </w:p>
    <w:p>
      <w:r>
        <w:t xml:space="preserve">weder der Antragsteller selbst noch ein mit ihm verbundenes Unternehmen noch eine den Antragsteller beherrschende Person noch eine von der den Antragsteller beherrschenden Person beherrschte Person unerlaubte Glücksspiele veranstaltet oder vermittelt,</w:t>
      </w:r>
    </w:p>
    <w:p>
      <w:r>
        <w:t xml:space="preserve">2. (Leistungsfähigkeit)</w:t>
      </w:r>
    </w:p>
    <w:p>
      <w:r>
        <w:t xml:space="preserve">a)</w:t>
      </w:r>
    </w:p>
    <w:p>
      <w:r>
        <w:t xml:space="preserve">der Antragsteller über genügend Eigenmittel für eine dauerhafte Geschäftstätigkeit verfügt und zugleich Gewähr für ein einwandfreies Geschäftsverhalten bietet,</w:t>
      </w:r>
    </w:p>
    <w:p>
      <w:r>
        <w:t xml:space="preserve">b)</w:t>
      </w:r>
    </w:p>
    <w:p>
      <w:r>
        <w:t xml:space="preserve">die Wirtschaftlichkeit des beabsichtigten Glücksspielangebots unter Berücksichtigung der Abgaben dargelegt ist,</w:t>
      </w:r>
    </w:p>
    <w:p>
      <w:r>
        <w:t xml:space="preserve">c)</w:t>
      </w:r>
    </w:p>
    <w:p>
      <w:r>
        <w:t xml:space="preserve">die erforderlichen Sicherheitsleistungen vorbereitet und die zum weitergehenden Schutz der Spieler notwendigen Versicherungen abgeschlossen sind,</w:t>
      </w:r>
    </w:p>
    <w:p>
      <w:r>
        <w:t xml:space="preserve">3. (Transparenz und Sicherheit des Glücksspiels)</w:t>
      </w:r>
    </w:p>
    <w:p>
      <w:r>
        <w:t xml:space="preserve">a)</w:t>
      </w:r>
    </w:p>
    <w:p>
      <w:r>
        <w:t xml:space="preserve">die Transparenz des Betriebs sichergestellt sowie gewährleistet ist, dass eine Überwachung des Vertriebsnetzes jederzeit möglich ist und nicht durch Dritte oder am Betrieb Beteiligte vereitelt werden kann,</w:t>
      </w:r>
    </w:p>
    <w:p>
      <w:r>
        <w:t xml:space="preserve">b)</w:t>
      </w:r>
    </w:p>
    <w:p>
      <w:r>
        <w:t xml:space="preserve">der Antragsteller einen Sitz in einem Mitgliedstaat der Europäischen Union oder einem Vertragsstaat des Abkommens über den Europäischen Wirtschaftsraum hat,</w:t>
      </w:r>
    </w:p>
    <w:p>
      <w:r>
        <w:t xml:space="preserve">c)</w:t>
      </w:r>
    </w:p>
    <w:p>
      <w:r>
        <w:t xml:space="preserve">der Antragsteller, sofern er über keinen Sitz im Inland verfügt, der zuständigen Behörde einen Empfangs- und Vertretungsbevollmächtigten im Inland benennt, der die Zuverlässigkeit im Sinne von Nummer 1 Buchstabe b besitzt,</w:t>
      </w:r>
    </w:p>
    <w:p>
      <w:r>
        <w:t xml:space="preserve">d)</w:t>
      </w:r>
    </w:p>
    <w:p>
      <w:r>
        <w:t xml:space="preserve">der Antragsteller für alle Spiel- und Zahlungsvorgänge in Deutschland eine eigene Buchführung einrichtet und spielbezogene Zahlungsvorgänge über ein Konto im Inland oder bei einem in einem Mitgliedstaat der Europäischen Union beheimateten Kreditinstitut abwickelt und</w:t>
      </w:r>
    </w:p>
    <w:p>
      <w:r>
        <w:t xml:space="preserve">e)</w:t>
      </w:r>
    </w:p>
    <w:p>
      <w:r>
        <w:t xml:space="preserve">der Antragsteller Schnittstellen zur Prüfung aller Spielvorgänge in Echtzeit zur Verfügung stellt.</w:t>
      </w:r>
    </w:p>
    <w:p>
      <w:r>
        <w:t xml:space="preserve">(2) Sonstige Voraussetzungen für die Erteilung einer Erlaubnis bleiben unberührt.</w:t>
      </w:r>
    </w:p>
    <w:p>
      <w:r>
        <w:rPr>
          <w:color w:val="555555"/>
          <w:sz w:val="17"/>
        </w:rPr>
        <w:t xml:space="preserve">Zitiervorschlag: § 4a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