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SN-19073 (Sachsen) — Allgemeine Bestimmungen zur Erlaubniserteilung</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(1) Öffentliche Glücksspiele dürfen nur mit Erlaubnis der zuständigen Behörde des jeweiligen Landes veranstaltet oder vermittelt werden. Das Veranstalten und das Vermitteln ohne diese Erlaubnis (unerlaubtes Glücksspiel) sowie die Mitwirkung an Zahlungen im Zusammenhang mit unerlaubtem Glücksspiel sind verboten. Bietet ein Veranstalter oder Vermittler von öffentlichen Glücksspielen neben unerlaubtem Glücksspiel auch sonstige Leistungen in der Weise an, die es am Zahlungsverkehr Beteiligten nicht ermöglicht, den Zahlungsverkehr vollständig unterscheidbar und getrennt nach den Angeboten abzuwickeln, ist die Mitwirkung am Zahlungsverkehr auch für die sonstigen Leistungen verboten.</w:t>
      </w:r>
    </w:p>
    <w:p>
      <w:r>
        <w:t xml:space="preserve">(2) Die Erlaubnis ist zu versagen, wenn das Veranstalten oder das Vermitteln des Glücksspiels den Zielen des § 1 zuwiderläuft. Die Erlaubnis darf nicht für das Vermitteln nach diesem Staatsvertrag nicht erlaubter Glücksspiele erteilt werden.</w:t>
      </w:r>
    </w:p>
    <w:p>
      <w:r>
        <w:t xml:space="preserve">(3) Das Veranstalten und das Vermitteln von öffentlichen Glücksspielen darf den Erfordernissen des Jugendschutzes nicht zuwiderlaufen. Die Teilnahme von Minderjährigen ist unzulässig. Die Veranstalter und die Vermittler haben sicherzustellen, dass Minderjährige von der Teilnahme ausgeschlossen sind. Die Sätze 2 und 3 gelten nicht für die Teilnahme von Minderjährigen an Ausspielungen nach dem Dritten Abschnitt auf Volksfesten, Jahrmärkten, Spezialmärkten und ähnlichen Veranstaltungen, wenn der Gewinn ausschließlich in Waren von geringem Wert besteht.</w:t>
      </w:r>
    </w:p>
    <w:p>
      <w:r>
        <w:t xml:space="preserve">(4) Eine Erlaubnis für öffentliche Glücksspiele im Internet darf nur für den Eigenvertrieb und die Vermittlung von Lotterien, für die Veranstaltung, Vermittlung und den Eigenvertrieb von Sportwetten und Pferdewetten sowie für die Veranstaltung und den Eigenvertrieb von Online-Casinospielen, virtuellen Automatenspielen und Online-Poker erteilt werden. Im Übrigen sind das Veranstalten und das Vermitteln öffentlicher Glücksspiele im Internet verboten.</w:t>
      </w:r>
    </w:p>
    <w:p>
      <w:r>
        <w:t xml:space="preserve">(5) Die Erteilung einer Erlaubnis nach Absatz 4 Satz 1 für öffentliche Glücksspiele im Internet setzt voraus, dass keine Versagungsgründe nach Absatz 2 vorliegen und folgende Voraussetzungen erfüllt sind:</w:t>
      </w:r>
    </w:p>
    <w:p>
      <w:r>
        <w:t xml:space="preserve">1. Der Ausschluss minderjähriger oder gesperrter Spieler wird durch Identifizierung und Authentifizierung sowie, wenn eine Verpflichtung nach § 8 besteht, durch Abgleich mit der Sperrdatei gewährleistet.</w:t>
      </w:r>
    </w:p>
    <w:p>
      <w:r>
        <w:t xml:space="preserve">2. Spielern werden durch den Veranstalter, den Vermittler, deren Beschäftigte oder durch von diesen beauftragten Dritten keine Darlehen gewährt; für Darlehen darf auf der Internetdomain des Veranstalters oder Vermittlers nicht geworben oder sonst darauf verwiesen oder verlinkt werden (Kreditverbot). Bei Lotterien in Form des Gewinnsparens nach § 12 Absatz 1 Satz 2 gilt dies nur für Darlehen, die für die Teilnahme an Glücksspielen gewährt werden.</w:t>
      </w:r>
    </w:p>
    <w:p>
      <w:r>
        <w:t xml:space="preserve">3. Besondere Suchtanreize durch schnelle Wiederholung sind ausgeschlossen.</w:t>
      </w:r>
    </w:p>
    <w:p>
      <w:r>
        <w:t xml:space="preserve">4. Ein an die besonderen Bedingungen des Internets angepasstes Sozialkonzept nach § 6 ist zu entwickeln und umzusetzen; seine Wirksamkeit ist wissenschaftlich zu evaluieren.</w:t>
      </w:r>
    </w:p>
    <w:p>
      <w:r>
        <w:t xml:space="preserve">5. Über dieselbe Internetdomain dürfen unterschiedliche Glücksspielformen nur angeboten werden, wenn für jede Glücksspielform ein selbstständiger und grafisch jeweils voneinander abgetrennter Bereich eingerichtet wird; Absatz 1 bleibt unberührt. Abweichend davon dürfen Sportwetten und Pferdewetten miteinander in einem Bereich derselben Internetdomain angeboten werden. In einem Bereich darf für die Glücksspiele in den anderen Bereichen nicht geworben oder sonst zum Spiel in den anderen Bereichen aufgefordert werden. Nach Teilnahme an einem Glücksspiel in einem Bereich ist frühestens nach Ablauf einer Minute die Teilnahme in einem anderen Bereich desselben Erlaubnisinhabers zulässig; während dieser Zeit ist keine Teilnahme an unentgeltlichen oder Demo-Spielen möglich und es sind im Sozialkonzept näher zu beschreibende Hinweise zu den Gefahren von und zur Prävention vor Spielsucht sowie Hinweise auf Beratungsangebote anzuzeigen, die der Spieler vor Teilnahme in dem anderen Bereich bestätigen muss. Der Erlaubnisinhaber hat sicherzustellen, dass erzielte Gewinne aus einem Bereich erst nach Ablauf einer Wartefrist von einer Stunde für Glücksspiele in anderen Bereichen genutzt werden können. Satz 4 gilt entsprechend für den Wechsel zwischen verschiedenen Internetdomains desselben Erlaubnisinhabers.</w:t>
      </w:r>
    </w:p>
    <w:p>
      <w:r>
        <w:t xml:space="preserve">6. Die sich aus den §§ 6a bis 6j und die sich aus diesem Staatsvertrag und anderen gesetzlichen Bestimmungen ergebenden Anforderungen werden eingehalten.</w:t>
      </w:r>
    </w:p>
    <w:p>
      <w:r>
        <w:t xml:space="preserve">(6) Die Veranstalter und Vermittler von Lotterien im Internet haben der für die Erlaubniserteilung zuständigen Behörde vierteljährlich die Zahl der Spieler und die Höhe der Einsätze jeweils geordnet nach Spielen und Ländern zum Zwecke der Evaluierung zu übermitteln.</w:t>
      </w:r>
    </w:p>
    <w:p>
      <w:r>
        <w:rPr>
          <w:color w:val="555555"/>
          <w:sz w:val="17"/>
        </w:rPr>
        <w:t xml:space="preserve">Zitiervorschlag: § 4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