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SN-19073 (Sachsen) — Sprachliche Gleichstellung</w:t>
      </w:r>
    </w:p>
    <w:p>
      <w:r>
        <w:rPr>
          <w:color w:val="555555"/>
          <w:sz w:val="18"/>
        </w:rPr>
        <w:t xml:space="preserve">Glücksspielstaatsvertrag 2021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Soweit Personen- und Funktionsbezeichnungen in diesem Staatsvertrag in männlicher Form benannt sind, bezieht sich diese Form auf alle Geschlechter.</w:t>
      </w:r>
    </w:p>
    <w:p>
      <w:r>
        <w:rPr>
          <w:color w:val="555555"/>
          <w:sz w:val="17"/>
        </w:rPr>
        <w:t xml:space="preserve">Zitiervorschlag: § 34 SN-19073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https://recht.nulegal.eu/gesetze/SN-19073/34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