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SN-19073 (Sachsen) — Weitere Regelungen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zuständige Behörde kann eine Lotterie, die bei Inkrafttreten dieses Vertrages von mehreren Veranstaltern in allen Ländern durchgeführt wird und bei der der Reinertrag ausschließlich zur Erfüllung der in § 10 Absatz 5 genannten Zwecke verwandt wird, abweichend von § 12 Absatz 1 Satz 1 Nummer 3, § 13 Absatz 2, § 14 Absatz 1 Nummer 1 und § 15 Absatz 1 Satz 3 erlauben.</w:t>
      </w:r>
    </w:p>
    <w:p>
      <w:r>
        <w:t xml:space="preserve">(2) Der Reinertrag von Veranstaltungen in der Form des Gewinnsparens muss mindestens 25 Prozent der Entgelte betragen. Der Reinertrag ist für gemeinnützige, kirchliche oder mildtätige Zwecke zu verwenden. Erlaubnisse können allgemein erteilt werden.</w:t>
      </w:r>
    </w:p>
    <w:p>
      <w:r>
        <w:rPr>
          <w:color w:val="555555"/>
          <w:sz w:val="17"/>
        </w:rPr>
        <w:t xml:space="preserve">Zitiervorschlag: § 30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