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27p SN-19073 (Sachsen) — Übergangsregelungen</w:t>
      </w:r>
    </w:p>
    <w:p>
      <w:r>
        <w:rPr>
          <w:color w:val="555555"/>
          <w:sz w:val="18"/>
        </w:rPr>
        <w:t xml:space="preserve">Glücksspielstaatsvertrag 2021</w:t>
      </w:r>
    </w:p>
    <w:p>
      <w:r>
        <w:rPr>
          <w:color w:val="555555"/>
          <w:sz w:val="18"/>
        </w:rPr>
        <w:t xml:space="preserve">Landesrecht Sachsen</w:t>
      </w:r>
    </w:p>
    <w:p>
      <w:r>
        <w:rPr>
          <w:color w:val="555555"/>
          <w:sz w:val="18"/>
        </w:rPr>
        <w:t xml:space="preserve">Stand: 27.08.2026 (konsolidierte Textfassung, kein amtliches Inkrafttretensdatum)</w:t>
      </w:r>
    </w:p>
    <w:p>
      <w:r>
        <w:t xml:space="preserve">(1) Abweichend von § 27f Absatz 1 und 5 ist</w:t>
      </w:r>
    </w:p>
    <w:p>
      <w:r>
        <w:t xml:space="preserve">1. bis zum 31. Dezember 2022 zuständige Behörde für die Erlaubniserteilung nach § 9a Absatz 1 Nummer 1 die zuständige Glücksspielaufsichtsbehörde des Landes, in dessen Gebiet die Anstalt nach § 10 Absatz 3 ihren Sitz hat (Freie und Hansestadt Hamburg),</w:t>
      </w:r>
    </w:p>
    <w:p>
      <w:r>
        <w:t xml:space="preserve">2. bis zum 31. Dezember 2022 zuständige Behörde für die Erlaubniserteilung nach § 9a Absatz 1 Nummer 2 die zuständige Glücksspielaufsichtsbehörde des Landes Baden-Württemberg,</w:t>
      </w:r>
    </w:p>
    <w:p>
      <w:r>
        <w:t xml:space="preserve">3. bis zum 31. Dezember 2022 zuständige Behörde für die Erlaubniserteilung nach § 9a Absatz 1 Nummer 3, soweit sich diese auf Erlaubnisse für die Vermittlung von Sportwetten im Internet, die Veranstaltung von Sportwetten und die Erlaubnis nach § 27 Absatz 2 bezieht, die zuständige Glücksspielaufsichtsbehörde des Landes Hessen und im Übrigen die zuständige Glücksspielaufsichtsbehörde des Landes Sachsen-Anhalt,</w:t>
      </w:r>
    </w:p>
    <w:p>
      <w:r>
        <w:t xml:space="preserve">4. bis zum 31. Dezember 2022 zuständige Behörde für die Erlaubniserteilung nach § 9a Absatz 1 Nummer 4 die zuständige Glücksspielaufsichtsbehörde des Landes Rheinland-Pfalz und</w:t>
      </w:r>
    </w:p>
    <w:p>
      <w:r>
        <w:t xml:space="preserve">5. bis zum 31. Dezember 2022 zuständige Behörde für die Erlaubniserteilung nach § 19 Absatz 2 die zuständige Glücksspielaufsichtsbehörde des Landes Niedersachsen.</w:t>
      </w:r>
    </w:p>
    <w:p>
      <w:r>
        <w:t xml:space="preserve">(2) Abweichend von § 27f Absatz 2 ist bis zum 30. Juni 2022 einheitlich zuständige Behörde in den Fällen des § 9a Absatz 3 Nummer 1 in Verbindung mit § 9 Absatz 1 Satz 3 Nummer 4 die zuständige Glücksspielaufsichtsbehörde des Landes Niedersachsen und für die übrigen Fälle des § 9a Absatz 3 die zuständigen Glücksspielaufsichtsbehörden des Landes Sachsen-Anhalt.</w:t>
      </w:r>
    </w:p>
    <w:p>
      <w:r>
        <w:t xml:space="preserve">(3) Abweichend von § 27f Absatz 3 ist bis zum 31. Dezember 2022 zuständige Behörde nach § 9 Absatz 8 die zuständige Glücksspielaufsichtsbehörde des Landes Sachsen-Anhalt.</w:t>
      </w:r>
    </w:p>
    <w:p>
      <w:r>
        <w:t xml:space="preserve">(4) Abweichend von § 27f Absatz 4 ist bis zum 31. Dezember 2022 zuständige Behörde für</w:t>
      </w:r>
    </w:p>
    <w:p>
      <w:r>
        <w:t xml:space="preserve">1. (aufgehoben)</w:t>
      </w:r>
    </w:p>
    <w:p>
      <w:r>
        <w:t xml:space="preserve">2. die Führung der Limitdatei nach § 6c Absatz 4 die zuständige Glücksspielaufsichtsbehörde des Landes Sachsen-Anhalt und</w:t>
      </w:r>
    </w:p>
    <w:p>
      <w:r>
        <w:t xml:space="preserve">3. die Führung der Datei zur Verhinderung parallelen Spiels im Internet bei mehreren Anbietern nach § 6h Absatz 2 die zuständige Glücksspielaufsichtsbehörde des Landes Sachsen-Anhalt.</w:t>
      </w:r>
    </w:p>
    <w:p>
      <w:r>
        <w:t xml:space="preserve">(5) Die nach den Absätzen 1 bis 4 zuständigen Behörden stellen der Anstalt rechtzeitig vor dem Übergang der Zuständigkeit auf die Anstalt sämtliche zur Wahrnehmung der Aufgaben der Anstalt erforderlichen Unterlagen und Informationen zur Verfügung.</w:t>
      </w:r>
    </w:p>
    <w:p>
      <w:r>
        <w:t xml:space="preserve">(6) Zur Erfüllung der nach den Absätzen 1 bis 4 ländereinheitlich wahrgenommenen Aufgaben besteht bis zum 31. Dezember 2022 das Glücksspielkollegium der Länder. Hierbei dient das Glücksspielkollegium den Ländern zur Umsetzung einer gemeinschaftlich auszuübenden Aufsicht der jeweiligen obersten Glücksspielaufsichtsbehörden.</w:t>
      </w:r>
    </w:p>
    <w:p>
      <w:r>
        <w:t xml:space="preserve">(7) Das Glücksspielkollegium der Länder besteht aus 16 Mitgliedern. Jedes Land benennt durch seine oberste Glücksspielaufsichtsbehörde je ein Mitglied sowie dessen Vertreter für den Fall der Verhinderung. Das Glücksspielkollegium gibt sich einvernehmlich eine Geschäftsordnung. § 9 Absatz 6 gilt entsprechend.</w:t>
      </w:r>
    </w:p>
    <w:p>
      <w:r>
        <w:t xml:space="preserve">(8) Die Länder bilden für das Glücksspielkollegium eine Geschäftsstelle im Land Hessen. Die Finanzierung des Glücksspielkollegiums und der Geschäftsstelle sowie die Verteilung der Einnahmen aus Verwaltungsgebühren nach § 9a Absatz 4 werden in einer Verwaltungsvereinbarung der Länder geregelt.</w:t>
      </w:r>
    </w:p>
    <w:p>
      <w:r>
        <w:t xml:space="preserve">(9) Das Glücksspielkollegium fasst seine Beschlüsse mit einer Mehrheit von mindestens zwei Dritteln der Stimmen seiner Mitglieder. Die Beschlüsse sind zu begründen. In der Begründung sind die wesentlichen tatsächlichen und rechtlichen Gründe mitzuteilen. Die Beschlüsse sind für die nach den Absätzen 1 bis 3 zuständigen Behörden und die Geschäftsstelle bindend; sie haben die Beschlüsse innerhalb der von dem Glücksspielkollegium gesetzten Frist zu vollziehen. Ein Beschluss des Glücksspielkollegiums ist innerhalb von drei Monaten nach Eingang des Vorgangs bei der Geschäftsstelle zu fassen.</w:t>
      </w:r>
    </w:p>
    <w:p>
      <w:r>
        <w:t xml:space="preserve">(10) § 6c Absatz 1 Satz 3 (Erlaubnis zur Festsetzung eines abweichenden Höchstbetrages für das Einzahlungslimit in der Glücksspielerlaubnis) und § 22a Absatz 7 Satz 2 (Anpassung des Höchsteinsatzes je Spiel) finden keine Anwendung bis zum 31. Dezember 2022; Absatz 11 gilt entsprechend. In diesem Zeitraum findet § 6c Absatz 1 Satz 4 (Erlaubnis zur Festsetzung eines abweichenden Höchstbetrags für das Einzahlungslimit für Anbieter von Online-Casinospielen) mit der Maßgabe Anwendung, dass abweichend von § 6c Absatz 1 Satz 5 und § 27f Absatz 4 Nummer 2 zuständig für die Festsetzung von bindenden Rahmenregelungen die nach Absatz 4 Nummer 2 zuständige Behörde im Einvernehmen mit den zuständigen Glücksspielaufsichtsbehörden der übrigen Vertragsländer ist. In diesem Zeitraum kann zudem die nach Absatz 1 Nummer 3 zuständige Behörde Veranstaltern von Sportwetten und Pferdewetten im Internet zur besseren Erreichung der Ziele des § 1 Ausnahmen im Einzelfall von der Rechtsfolge des § 6c Absatz 1 Satz 8 erlauben; eine Limitierung ist vorzusehen.</w:t>
      </w:r>
    </w:p>
    <w:p>
      <w:r>
        <w:t xml:space="preserve">(11) Tritt dieser Staatsvertrag in einem der in den Absätzen 1 bis 4 bezeichneten Länder nicht zum 1. Juli 2021 in Kraft, tritt die zuständige Glücksspielaufsichtsbehörde des Sitzlandes an die Stelle der zuständigen Glücksspielaufsichtsbehörde des Landes, in dem der Staatsvertrag keine Anwendung findet.</w:t>
      </w:r>
    </w:p>
    <w:p>
      <w:r>
        <w:t xml:space="preserve">(12) Die Anstalt kann mit einstimmigem Beschluss des Verwaltungsrats Aufgaben nach den Absätzen 1 bis 3 für einen in dem Beschluss festzulegenden Zeitraum von bis zu zwei Jahren nach den in den Absätzen 1 bis 3 genannten Daten auf die zuständige Glücksspielaufsichtsbehörde des in den Absätzen 1 bis 3 genannten Landes übertragen, wenn der Verwaltungsrat durch einstimmigen Beschluss festgestellt hat, dass die Anstalt zu den in den Absätzen 1 bis 3 genannten Daten noch nicht in der Lage ist, die Aufgabe ordnungsgemäß zu erfüllen.</w:t>
      </w:r>
    </w:p>
    <w:p>
      <w:r>
        <w:rPr>
          <w:color w:val="555555"/>
          <w:sz w:val="17"/>
        </w:rPr>
        <w:t xml:space="preserve">Zitiervorschlag: § 27p SN-19073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https://recht.nulegal.eu/gesetze/SN-19073/27p</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