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27n SN-19073 (Sachsen) — Anwendbares Datenschutzrecht</w:t>
      </w:r>
    </w:p>
    <w:p>
      <w:r>
        <w:rPr>
          <w:color w:val="555555"/>
          <w:sz w:val="18"/>
        </w:rPr>
        <w:t xml:space="preserve">Glücksspielstaatsvertrag 2021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Für die Verarbeitung personenbezogener Daten durch die Anstalt gelten die im Sitzland anwendbaren datenschutzrechtlichen Vorschriften.</w:t>
      </w:r>
    </w:p>
    <w:p>
      <w:r>
        <w:rPr>
          <w:color w:val="555555"/>
          <w:sz w:val="17"/>
        </w:rPr>
        <w:t xml:space="preserve">Zitiervorschlag: § 27n SN-19073 (Sachsen)</w:t>
      </w:r>
    </w:p>
    <w:p>
      <w:r>
        <w:rPr>
          <w:color w:val="555555"/>
          <w:sz w:val="17"/>
        </w:rPr>
        <w:t xml:space="preserve">Quelle: revosax, abgerufen 27.08.2026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https://recht.nulegal.eu/gesetze/SN-19073/27n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