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27m SN-19073 (Sachsen) — Finanzkontrolle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Haushalts- und Wirtschaftsführung der Anstalt unterliegt der Prüfung der Rechnungshöfe der Trägerländer.</w:t>
      </w:r>
    </w:p>
    <w:p>
      <w:r>
        <w:t xml:space="preserve">(2) Auf die Jahresabschlussprüfung findet § 53 des Haushaltsgrundsätzegesetzes entsprechende Anwendung. Die Rechte bei der Wahl oder Bestellung der Prüfer nach § 53 Absatz 1 Nummer 1 des Haushaltsgrundsätzegesetzes übt die zuständige Behörde nach § 27l Absatz 1 im Einvernehmen mit dem Rechnungshof des Sitzlandes aus.</w:t>
      </w:r>
    </w:p>
    <w:p>
      <w:r>
        <w:rPr>
          <w:color w:val="555555"/>
          <w:sz w:val="17"/>
        </w:rPr>
        <w:t xml:space="preserve">Zitiervorschlag: § 27m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https://recht.nulegal.eu/gesetze/SN-19073/27m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