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27j SN-19073 (Sachsen) — Dienstherrnfähigkeit, Personalgewinnung</w:t>
      </w:r>
    </w:p>
    <w:p>
      <w:r>
        <w:rPr>
          <w:color w:val="555555"/>
          <w:sz w:val="18"/>
        </w:rPr>
        <w:t xml:space="preserve">Glücksspielstaatsvertrag 2021</w:t>
      </w:r>
    </w:p>
    <w:p>
      <w:r>
        <w:rPr>
          <w:color w:val="555555"/>
          <w:sz w:val="18"/>
        </w:rPr>
        <w:t xml:space="preserve">Landesrecht Sachsen</w:t>
      </w:r>
    </w:p>
    <w:p>
      <w:r>
        <w:rPr>
          <w:color w:val="555555"/>
          <w:sz w:val="18"/>
        </w:rPr>
        <w:t xml:space="preserve">Stand: 27.08.2026 (konsolidierte Textfassung, kein amtliches Inkrafttretensdatum)</w:t>
      </w:r>
    </w:p>
    <w:p>
      <w:r>
        <w:t xml:space="preserve">(1) Die Anstalt kann Beschäftigte einstellen und Beamtinnen und Beamte haben. Die Trägerländer können an die Anstalt Beschäftigte abordnen sowie Beamtinnen und Beamte abordnen oder versetzen. Die Anstalt ist Dienstherr im Sinne des Landesrechts des Sitzlandes. Auf die Rechtsverhältnisse der Beamten der Anstalt finden das Beamtenstatusgesetz und die beamtenrechtlichen Vorschriften des Sitzlandes Anwendung, soweit sich aus den Bestimmungen dieses Staatsvertrages nichts anderes ergibt. Für die Beschäftigten und die Auszubildenden der Anstalt gilt der Tarifvertrag für den öffentlichen Dienst der Länder beziehungsweise der Tarifvertrag für Auszubildende der Länder in Ausbildungsberufen nach dem Berufsbildungsgesetz einschließlich der diese Tarifverträge ergänzenden, ändernden und ersetzenden Tarifverträge in der in dem Sitzland jeweils geltenden Fassung. Zur Deckung des Personalbedarfs und zur Bindung von qualifizierten Fachkräften in Bereichen, die für die Erfüllung des Zwecks der Anstalt von besonderer Bedeutung sind und in denen ein besonderer Fachkräftemangel herrscht, kann eine besondere persönliche Zulage gewährt werden. Die Zulage kann befristet werden. Sie ist auch als befristete Zulage widerruflich. Ist im Sitzland der Anstalt der Tarifvertrag für den öffentlichen Dienst der Länder nicht anwendbar, gelten die entsprechenden Vorschriften des für die dortigen Beschäftigten des Landes gültigen Tarifvertrags entsprechend.</w:t>
      </w:r>
    </w:p>
    <w:p>
      <w:r>
        <w:t xml:space="preserve">(2) Die Trägerländer sind verpflichtet, befähigtes eigenes Personal an die Anstalt abzuordnen, sofern diese selbst nachweislich nicht in ausreichendem Umfang Personal gewinnen konnte. Eine solche Inanspruchnahme der Trägerländer bedarf eines Beschlusses des Verwaltungsrates, der die Belastung der Trägerländer unter besonderer Berücksichtigung der bisherigen Personalzuführungen und des nach § 27c Absatz 3 Satz 2 bis 4 modifizierten Königsteiner Schlüssels bemisst.</w:t>
      </w:r>
    </w:p>
    <w:p>
      <w:r>
        <w:t xml:space="preserve">(3) Die Versorgungslastenteilung zwischen den Trägerländern und der Anstalt richtet sich nach dem Versorgungslastenteilungs-Staatsvertrag vom 5. September 2010 (BGBl. I S. 1290, 1404) in der jeweils geltenden Fassung. Bei Abordnungen gemäß § 14 des Beamtenstatusgesetzes ist im Rahmen der Personalkostenerstattungen bei Beamten auch die Erhebung eines Versorgungszuschlages in Höhe von 30 Prozent der jeweiligen ruhegehaltfähigen Dienstbezüge nach dem Recht des abordnenden Dienstherrn zu vereinbaren. Dies gilt nicht, sofern es sich um Abordnungen handelt, die mit dem Ziel der Versetzung ausgesprochen werden bzw. in eine Versetzung münden, soweit eine Versorgungslastenteilung nach dem Versorgungslasten-Staatsvertrag stattfindet.</w:t>
      </w:r>
    </w:p>
    <w:p>
      <w:r>
        <w:t xml:space="preserve">(4) Die Anstalt schafft unverzüglich nach Errichtung die Voraussetzungen für den Abschluss einer Beteiligungsvereinbarung mit der Versorgungsanstalt des Bundes und der Länder. Kommt die Beteiligungsvereinbarung nicht zustande, stellt die Anstalt die rechtlichen Ansprüche der Beschäftigten auf eine betriebliche Altersversorgung entsprechend § 25 des Tarifvertrags für den öffentlichen Dienst der Länder bzw. § 17 des Tarifvertrags für Auszubildende der Länder in Ausbildungsberufen nach dem Berufsbildungsgesetz sicher.</w:t>
      </w:r>
    </w:p>
    <w:p>
      <w:r>
        <w:rPr>
          <w:color w:val="555555"/>
          <w:sz w:val="17"/>
        </w:rPr>
        <w:t xml:space="preserve">Zitiervorschlag: § 27j SN-19073 (Sachsen)</w:t>
      </w:r>
    </w:p>
    <w:p>
      <w:r>
        <w:rPr>
          <w:color w:val="555555"/>
          <w:sz w:val="17"/>
        </w:rPr>
        <w:t xml:space="preserve">Quelle: revosax, abgerufen 27.08.2026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https://recht.nulegal.eu/gesetze/SN-19073/27j</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