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27f SN-19073 (Sachsen) — Zuständigkeiten der Anstalt</w:t>
      </w:r>
    </w:p>
    <w:p>
      <w:r>
        <w:rPr>
          <w:color w:val="555555"/>
          <w:sz w:val="18"/>
        </w:rPr>
        <w:t xml:space="preserve">Glücksspielstaatsvertrag 2021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Anstalt ist zuständig für die mit Wirkung für alle Länder nach § 9a Absatz 1 zu erteilenden Erlaubnisse.</w:t>
      </w:r>
    </w:p>
    <w:p>
      <w:r>
        <w:t xml:space="preserve">(2) Die Anstalt ist einheitlich zuständige Behörde in den Fällen des § 9a Absatz 3.</w:t>
      </w:r>
    </w:p>
    <w:p>
      <w:r>
        <w:t xml:space="preserve">(3) Sie ist zuständige Behörde nach § 9 Absatz 8.</w:t>
      </w:r>
    </w:p>
    <w:p>
      <w:r>
        <w:t xml:space="preserve">(4) Die Anstalt ist außerdem zuständige Behörde für</w:t>
      </w:r>
    </w:p>
    <w:p>
      <w:r>
        <w:t xml:space="preserve">1. (aufgehoben)</w:t>
      </w:r>
    </w:p>
    <w:p>
      <w:r>
        <w:t xml:space="preserve">2. die Führung der Limitdatei nach § 6c Absatz 4 (einschließlich der Erlaubnis zur Festsetzung eines abweichenden Höchstbetrags für das Einzahlungslimit in der Glücksspielerlaubnis nach § 6c Absatz 1 Satz 3 und der Festsetzung von bindenden Rahmenregelungen zu den Voraussetzungen der Erlaubnis zur Festsetzung eines abweichenden Höchstbetrags für das Einzahlungslimit nach § 6c Absatz 1 Satz 5),</w:t>
      </w:r>
    </w:p>
    <w:p>
      <w:r>
        <w:t xml:space="preserve">3. die Führung der Datei zur Verhinderung parallelen Spiels im Internet bei mehreren Anbietern nach § 6h Absatz 2 und</w:t>
      </w:r>
    </w:p>
    <w:p>
      <w:r>
        <w:t xml:space="preserve">4. die Anpassung des Höchsteinsatzes je Spiel nach § 22a Absatz 7 Satz 2.</w:t>
      </w:r>
    </w:p>
    <w:p>
      <w:r>
        <w:t xml:space="preserve">(5) Die Anstalt ist zentral zuständige Behörde nach § 19 Absatz 2.</w:t>
      </w:r>
    </w:p>
    <w:p>
      <w:r>
        <w:rPr>
          <w:color w:val="555555"/>
          <w:sz w:val="17"/>
        </w:rPr>
        <w:t xml:space="preserve">Zitiervorschlag: § 27f SN-19073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https://recht.nulegal.eu/gesetze/SN-19073/27f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