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27e SN-19073 (Sachsen) — Aufgaben der Anstalt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Anstalt wird als Erlaubnis- und Aufsichtsbehörde für länderübergreifende Glücksspielangebote insbesondere im Internet im Rahmen der nach diesem Staatsvertrag festgelegten Zuständigkeiten tätig.</w:t>
      </w:r>
    </w:p>
    <w:p>
      <w:r>
        <w:t xml:space="preserve">(2) Die Anstalt beobachtet die Entwicklungen des Glücksspielmarktes und der Forschungen im Zusammenhang mit Glücksspielen.</w:t>
      </w:r>
    </w:p>
    <w:p>
      <w:r>
        <w:t xml:space="preserve">(3) Die Anstalt soll die wissenschaftliche Forschung im Zusammenhang mit Glücksspielen fördern. Die Anstalt kann hierzu Studien und Gutachten in Auftrag geben.</w:t>
      </w:r>
    </w:p>
    <w:p>
      <w:r>
        <w:t xml:space="preserve">(4) Die Anstalt unterstützt die Länder bei der Zusammenarbeit ihrer Glücksspielaufsichtsbehörden und bei der Zusammenarbeit der Glücksspielaufsichtsbehörden der Länder mit jenen anderer Staaten.</w:t>
      </w:r>
    </w:p>
    <w:p>
      <w:r>
        <w:rPr>
          <w:color w:val="555555"/>
          <w:sz w:val="17"/>
        </w:rPr>
        <w:t xml:space="preserve">Zitiervorschlag: § 27e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https://recht.nulegal.eu/gesetze/SN-19073/27e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