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SN-19073 (Sachsen) — Anforderungen an die Ausgestaltung und den Betrieb von Spielhallen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Von der äußeren Gestaltung der Spielhalle darf keine Werbung für den Spielbetrieb oder die in der Spielhalle angebotenen Spiele ausgehen oder durch eine besonders auffällige Gestaltung ein zusätzlicher Anreiz für den Spielbetrieb geschaffen werden.</w:t>
      </w:r>
    </w:p>
    <w:p>
      <w:r>
        <w:t xml:space="preserve">(2) Die Länder setzen für Spielhallen zur Sicherstellung der Ziele des § 1 Sperrzeiten fest, die drei Stunden nicht unterschreiten dürfen.</w:t>
      </w:r>
    </w:p>
    <w:p>
      <w:r>
        <w:rPr>
          <w:color w:val="555555"/>
          <w:sz w:val="17"/>
        </w:rPr>
        <w:t xml:space="preserve">Zitiervorschlag: § 26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