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SN-19073 (Sachsen) — Beschränkungen von Spielhallen; Verbot von Mehrfachkonzessionen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Zwischen Spielhallen ist ein Mindestabstand einzuhalten. Das Nähere regeln die Ausführungsbestimmungen der Länder.</w:t>
      </w:r>
    </w:p>
    <w:p>
      <w:r>
        <w:t xml:space="preserve">(2) Die Erteilung einer Erlaubnis für eine Spielhalle, die in einem baulichen Verbund mit weiteren Spielhallen steht, insbesondere in einem gemeinsamen Gebäude oder Gebäudekomplex untergebracht ist, ist ausgeschlossen.</w:t>
      </w:r>
    </w:p>
    <w:p>
      <w:r>
        <w:t xml:space="preserve">(3) Die Länder können die Anzahl der in einer Gemeinde zu erteilenden Erlaubnisse begrenzen.</w:t>
      </w:r>
    </w:p>
    <w:p>
      <w:r>
        <w:rPr>
          <w:color w:val="555555"/>
          <w:sz w:val="17"/>
        </w:rPr>
        <w:t xml:space="preserve">Zitiervorschlag: § 25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