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SN-19073 (Sachsen) — Erlaubnisse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Unbeschadet sonstiger Genehmigungserfordernisse bedürfen die Errichtung und der Betrieb einer Spielhalle einer Erlaubnis nach diesem Staatsvertrag.</w:t>
      </w:r>
    </w:p>
    <w:p>
      <w:r>
        <w:t xml:space="preserve">(2) Die Erlaubnis ist zu versagen, wenn die Errichtung und der Betrieb einer Spielhalle den Zielen des § 1 zuwiderlaufen. Sie ist schriftlich zu erteilen und zu befristen. Die Erlaubnis kann, auch nachträglich, mit Nebenbestimmungen versehen werden.</w:t>
      </w:r>
    </w:p>
    <w:p>
      <w:r>
        <w:t xml:space="preserve">(3) Das Nähere regeln die Ausführungsbestimmungen der Länder.</w:t>
      </w:r>
    </w:p>
    <w:p>
      <w:r>
        <w:rPr>
          <w:color w:val="555555"/>
          <w:sz w:val="17"/>
        </w:rPr>
        <w:t xml:space="preserve">Zitiervorschlag: § 24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