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SN-19073 (Sachsen) — Sperrdatei, Datenverarbeitung</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Mit der Sperrdatei werden die für eine Sperrung erforderlichen Daten verarbeitet. Es dürfen folgende Daten verarbeitet werden:</w:t>
      </w:r>
    </w:p>
    <w:p>
      <w:r>
        <w:t xml:space="preserve">1. Familiennamen, Vornamen, Geburtsnamen,</w:t>
      </w:r>
    </w:p>
    <w:p>
      <w:r>
        <w:t xml:space="preserve">2. Aliasnamen, verwendete Falschnamen,</w:t>
      </w:r>
    </w:p>
    <w:p>
      <w:r>
        <w:t xml:space="preserve">3. Geburtsdatum,</w:t>
      </w:r>
    </w:p>
    <w:p>
      <w:r>
        <w:t xml:space="preserve">4. Geburtsort,</w:t>
      </w:r>
    </w:p>
    <w:p>
      <w:r>
        <w:t xml:space="preserve">5. Anschrift,</w:t>
      </w:r>
    </w:p>
    <w:p>
      <w:r>
        <w:t xml:space="preserve">6. Lichtbilder,</w:t>
      </w:r>
    </w:p>
    <w:p>
      <w:r>
        <w:t xml:space="preserve">7. Grund der Sperre,</w:t>
      </w:r>
    </w:p>
    <w:p>
      <w:r>
        <w:t xml:space="preserve">8. Dauer der Sperre und</w:t>
      </w:r>
    </w:p>
    <w:p>
      <w:r>
        <w:t xml:space="preserve">9. meldende Stelle.</w:t>
      </w:r>
    </w:p>
    <w:p>
      <w:r>
        <w:t xml:space="preserve">Daneben dürfen die Dokumente, die zur Sperrung geführt haben, verarbeitet werden.</w:t>
      </w:r>
    </w:p>
    <w:p>
      <w:r>
        <w:t xml:space="preserve">(2) Die gespeicherten Daten sind im erforderlichen Umfang an die Stellen zu übermitteln, die Spielverbote zu überwachen haben. Die Datenübermittlung kann auch durch automatisierte Abrufverfahren erfolgen. Der Anstalt nach § 27a können gespeicherte Daten sowie Abfrage- und Zugriffsdaten übermittelt werden, soweit dies erforderlich ist, damit die Anstalt die ihr durch diesen Staatsvertrag übertragenen Aufgaben erfüllen kann.</w:t>
      </w:r>
    </w:p>
    <w:p>
      <w:r>
        <w:t xml:space="preserve">(3) Die Übermittlung von statistischen Abfrage- und Zugriffsdaten zum Zwecke der Nutzungsüberwachung durch die zuständige Behörde ist zulässig. Die für die Führung der Sperrdatei zuständige Behörde übermittelt den jeweils für die Aufsicht über die Veranstalter und Vermittler zuständigen Behörden einmal im Monat Berichte, die zur Überprüfung der Einhaltung der Nutzungspflicht geeignet sind.</w:t>
      </w:r>
    </w:p>
    <w:p>
      <w:r>
        <w:t xml:space="preserve">(4) Erteilte Auskünfte und Zugriffe im elektronischen System sind zu protokollieren.</w:t>
      </w:r>
    </w:p>
    <w:p>
      <w:r>
        <w:t xml:space="preserve">(5) Die Daten sind sechs Jahre nach Ablauf der Sperre zu löschen.</w:t>
      </w:r>
    </w:p>
    <w:p>
      <w:r>
        <w:t xml:space="preserve">(6) Verantwortlicher im Sinne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für die personenbezogenen Daten gesperrter Spieler ist derjenige, der die Daten eingetragen hat. Im Falle des § 8a Absatz 7 Satz 2 ist dies die für die Führung der Sperrdatei zuständige Behörde. Überträgt die für die Führung der Sperrdatei zuständige Behörde gemäß § 8a Absatz 7 Satz 2 die Zuordnung von Sperren auf den Rechtsnachfolger, ist dieser damit auch Verantwortlicher im Sinne der Verordnung (EU) 2016/679.</w:t>
      </w:r>
    </w:p>
    <w:p>
      <w:r>
        <w:t xml:space="preserve">(7) Die Möglichkeit, Auskunft von der für die Führung der Sperrdatei zuständigen Behörde zu erlangen, bleibt unbeschadet des Auskunftsrechts der betroffenen Person gemäß Artikel 15 der Verordnung (EU) 2016/679 unberührt.</w:t>
      </w:r>
    </w:p>
    <w:p>
      <w:r>
        <w:rPr>
          <w:color w:val="555555"/>
          <w:sz w:val="17"/>
        </w:rPr>
        <w:t xml:space="preserve">Zitiervorschlag: § 23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