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22c SN-19073 (Sachsen) — Online-Casinospiele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Die Länder können Online-Casinospiele für ihr Hoheitsgebiet auf gesetzlicher Grundlage</w:t>
      </w:r>
    </w:p>
    <w:p>
      <w:r>
        <w:t xml:space="preserve">1. selbst, durch eine juristische Person des öffentlichen Rechts oder durch eine privatrechtliche Gesellschaft, an der juristische Personen des öffentlichen Rechts unmittelbar oder mittelbar maßgeblich beteiligt sind, veranstalten oder</w:t>
      </w:r>
    </w:p>
    <w:p>
      <w:r>
        <w:t xml:space="preserve">2. eine, maximal jedoch so viele Konzessionen erteilen, wie Konzessionen für Spielbanken im Sinne des § 20 nach dem jeweiligen Spielbankenrecht des Landes mit Stand 17. Januar 2020 vergeben werden konnten.</w:t>
      </w:r>
    </w:p>
    <w:p>
      <w:r>
        <w:t xml:space="preserve">Konzessionen nach Satz 1 Nummer 2 sind zu befristen.</w:t>
      </w:r>
    </w:p>
    <w:p>
      <w:r>
        <w:t xml:space="preserve">(2) Auf der Grundlage eines Verwaltungsabkommens ist eine gemeinschaftliche Veranstaltung oder die Veranstaltung durch einen Veranstalter nach Absatz 1 Satz 1 Nummer 1 eines anderen Landes möglich. Auf gesetzlicher Grundlage können Länder für ihre Hoheitsgebiete gemeinsame Konzessionen nach Absatz 1 Satz 1 Nummer 2 erteilen; in diesem Fall beschränkt sich die Zahl der Konzessionen auf die Gesamtzahl der in den kooperierenden Ländern zulässigen Konzessionen.</w:t>
      </w:r>
    </w:p>
    <w:p>
      <w:r>
        <w:t xml:space="preserve">(3) Konzessionen sind zu widerrufen, wenn der Konzessionsnehmer die Begrenzung auf das Hoheitsgebiet der Konzessionsgeber nach Absatz 1 oder 2 missachtet.</w:t>
      </w:r>
    </w:p>
    <w:p>
      <w:r>
        <w:t xml:space="preserve">(4) Die audiovisuelle oder rein visuelle Übertragung von Automatenspielen aus einer Spielbank oder aus Spielhallen oder anderen Örtlichkeiten, in denen Spielgeräte im Sinne des § 33c Absatz 1 Satz 1 der Gewerbeordnung aufgestellt sind oder andere Spiele im Sinne des § 33d Absatz 1 Satz 1 der Gewerbeordnung veranstaltet werden, und die Teilnahme hieran über das Internet sind verboten.</w:t>
      </w:r>
    </w:p>
    <w:p>
      <w:r>
        <w:t xml:space="preserve">(5) Das Nähere regeln die Länder in landesrechtlichen Bestimmungen.</w:t>
      </w:r>
    </w:p>
    <w:p>
      <w:r>
        <w:rPr>
          <w:color w:val="555555"/>
          <w:sz w:val="17"/>
        </w:rPr>
        <w:t xml:space="preserve">Zitiervorschlag: § 22c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https://recht.nulegal.eu/gesetze/SN-19073/22c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