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SN-19073 (Sachsen) — Anwendungsbereich</w:t>
      </w:r>
    </w:p>
    <w:p>
      <w:r>
        <w:rPr>
          <w:color w:val="555555"/>
          <w:sz w:val="18"/>
        </w:rPr>
        <w:t xml:space="preserve">Glücksspielstaatsvertrag 2021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Länder regeln mit diesem Staatsvertrag die Veranstaltung, die Durchführung und die Vermittlung von öffentlichen Glücksspielen.</w:t>
      </w:r>
    </w:p>
    <w:p>
      <w:r>
        <w:t xml:space="preserve">(2) Für Spielbanken gelten nur die §§ 1 bis 3, § 4 Absatz 1 bis 4, §§ 5, 6, 7 bis 8d, 20 und 23 sowie die Vorschriften des Zehnten Abschnitts.</w:t>
      </w:r>
    </w:p>
    <w:p>
      <w:r>
        <w:t xml:space="preserve">(3) Für Spielhallen, soweit sie Geld- oder Warenspielgeräte mit Gewinnmöglichkeit bereithalten, gelten nur die §§ 1 bis 3, § 4 Absatz 1, 3 und 4 Satz 2, §§ 5, 6, 7 bis 8d und 23 sowie die Vorschriften des Siebten und Zehnten Abschnitts. Als Geld- oder Warenspielgeräte mit Gewinnmöglichkeit gelten auch Erprobungsgeräte.</w:t>
      </w:r>
    </w:p>
    <w:p>
      <w:r>
        <w:t xml:space="preserve">(4) Für Gaststätten (Schank- und Speisewirtschaften und Beherbergungsbetriebe) und Wettannahmestellen der Buchmacher, soweit sie Geld- oder Warenspielgeräte mit Gewinnmöglichkeit bereithalten, gelten nur die §§ 1 bis 3, § 4 Absatz 3 und 4 Satz 2, §§ 5, 6, 7 bis 8d und 23 sowie die Vorschriften des Zehnten Abschnitts.</w:t>
      </w:r>
    </w:p>
    <w:p>
      <w:r>
        <w:t xml:space="preserve">(5) Für Pferdewetten gelten nur die §§ 1 bis 3, 5 bis 9a und 23 sowie die Vorschriften des Achten und Zehnten Abschnitts.</w:t>
      </w:r>
    </w:p>
    <w:p>
      <w:r>
        <w:t xml:space="preserve">(6) Für Sportwetten gelten nur die §§ 1 bis 9a, 21, 21a und 23 sowie die Vorschriften des Zehnten Abschnitts.</w:t>
      </w:r>
    </w:p>
    <w:p>
      <w:r>
        <w:t xml:space="preserve">(7) Für virtuelle Automatenspiele gelten nur die §§ 1 bis 9a, 22a und 23 sowie die Vorschriften des Zehnten Abschnitts.</w:t>
      </w:r>
    </w:p>
    <w:p>
      <w:r>
        <w:t xml:space="preserve">(8) Für Online-Poker gelten nur die §§ 1 bis 9a, 22b und 23 sowie die Vorschriften des Zehnten Abschnitts.</w:t>
      </w:r>
    </w:p>
    <w:p>
      <w:r>
        <w:t xml:space="preserve">(9) Für Online-Casinospiele gelten nur die §§ 1 bis 4, 5 bis 9a, 22c und 23 sowie die Vorschriften des Zehnten Abschnitts.</w:t>
      </w:r>
    </w:p>
    <w:p>
      <w:r>
        <w:t xml:space="preserve">(10) Für Lotterien gelten nur die §§ 1 bis 4, 5 bis 10, 12 bis 18, 22 und 23 sowie die Vorschriften des Zehnten Abschnitts.</w:t>
      </w:r>
    </w:p>
    <w:p>
      <w:r>
        <w:t xml:space="preserve">(11) Für Gewinnspiele im Rundfunk (§ 2 Absatz 1 Satz 1 und 2 des Medienstaatsvertrages) gilt nur § 11 des Medienstaatsvertrages.</w:t>
      </w:r>
    </w:p>
    <w:p>
      <w:r>
        <w:rPr>
          <w:color w:val="555555"/>
          <w:sz w:val="17"/>
        </w:rPr>
        <w:t xml:space="preserve">Zitiervorschlag: § 2 SN-19073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https://recht.nulegal.eu/gesetze/SN-19073/2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