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SN-19073 (Sachsen) — Gewerbliche Spielvermittlung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Neben den §§ 4 bis 8d und unbeschadet sonstiger gesetzlicher Regelungen gelten für die Tätigkeit des gewerblichen Spielvermittlers folgende Anforderungen:</w:t>
      </w:r>
    </w:p>
    <w:p>
      <w:r>
        <w:t xml:space="preserve">1. Der gewerbliche Spielvermittler hat mindestens zwei Drittel der von den Spielern vereinnahmten Beträge für die Teilnahme am Spiel an den Veranstalter weiterzuleiten. Dies hat er durch einen zur unabhängigen Ausübung eines rechts- oder steuerberatenden Berufs befähigten Beauftragten zur Vorlage bei der Erlaubnisbehörde bestätigen zu lassen. Er hat die Spieler vor Vertragsabschluss in Textform klar und verständlich auf den für die Spielteilnahme an den Veranstalter weiterzuleitenden Betrag hinzuweisen sowie ihnen unverzüglich nach Vermittlung des Spielauftrages den Veranstalter mitzuteilen.</w:t>
      </w:r>
    </w:p>
    <w:p>
      <w:r>
        <w:t xml:space="preserve">2. Gewerbliche Spielvermittler und von ihnen oder den Spielinteressenten im Sinne des § 3 Absatz 8 beauftragte Dritte sind verpflichtet, bei jeder Spielteilnahme dem Veranstalter die Vermittlung offen zu legen.</w:t>
      </w:r>
    </w:p>
    <w:p>
      <w:r>
        <w:t xml:space="preserve">3. Gewerbliche Spielvermittler sind verpflichtet, dafür Sorge zu tragen, dass bei Vertragsabschluss ein zur unabhängigen Ausübung eines rechts- oder steuerberatenden Berufes befähigter Treuhänder mit der Verwahrung der Spielquittungen und der Geltendmachung des Gewinnanspruches gegenüber dem Veranstalter beauftragt wird. Dem Spieler ist bei Vertragsabschluss ein Einsichtsrecht an den Spielquittungen, die in seinem Auftrag vermittelt worden sind, einzuräumen. Wird ein Gewinnanspruch vom Spieler nicht innerhalb einer Frist von drei Monaten beim Treuhänder geltend gemacht, so ist der Gewinnbetrag an den Veranstalter abzuführen.</w:t>
      </w:r>
    </w:p>
    <w:p>
      <w:r>
        <w:t xml:space="preserve">(2) Werden gewerbliche Spielvermittler in allen oder mehreren Ländern tätig, so werden die Erlaubnisse nach § 4 Absatz 1 Satz 1 und Absatz 4 Satz 1 gebündelt von der zentral zuständigen Behörde erteilt. § 9a Absatz 2 und 4 ist entsprechend anzuwenden.</w:t>
      </w:r>
    </w:p>
    <w:p>
      <w:r>
        <w:t xml:space="preserve">(3) § 4 Absatz 6 ist entsprechend anzuwenden.</w:t>
      </w:r>
    </w:p>
    <w:p>
      <w:r>
        <w:rPr>
          <w:color w:val="555555"/>
          <w:sz w:val="17"/>
        </w:rPr>
        <w:t xml:space="preserve">Zitiervorschlag: § 19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