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SN-19073 (Sachsen) — Kleine Lotterien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können von den Regelungen des Staatsvertrages für Lotterien abweichen, bei denen</w:t>
      </w:r>
    </w:p>
    <w:p>
      <w:r>
        <w:t xml:space="preserve">1. die Summe der zu entrichtenden Entgelte den Betrag von 40 000 Euro nicht übersteigt,</w:t>
      </w:r>
    </w:p>
    <w:p>
      <w:r>
        <w:t xml:space="preserve">2. der Reinertrag ausschließlich und unmittelbar für gemeinnützige, kirchliche oder mildtätige Zwecke verwandt wird und</w:t>
      </w:r>
    </w:p>
    <w:p>
      <w:r>
        <w:t xml:space="preserve">3. der Reinertrag und die Gewinnsumme jeweils mindestens 25 Prozent der Entgelte betragen.</w:t>
      </w:r>
    </w:p>
    <w:p>
      <w:r>
        <w:rPr>
          <w:color w:val="555555"/>
          <w:sz w:val="17"/>
        </w:rPr>
        <w:t xml:space="preserve">Zitiervorschlag: § 18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