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SN-19073 (Sachsen) — Form und Inhalt der Erlaubnis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Erlaubnis wird schriftlich erteilt. In ihr sind insbesondere festzulegen</w:t>
      </w:r>
    </w:p>
    <w:p>
      <w:r>
        <w:t xml:space="preserve">1. der Veranstalter sowie im Fall des § 14 Absatz 2 der Dritte,</w:t>
      </w:r>
    </w:p>
    <w:p>
      <w:r>
        <w:t xml:space="preserve">2. Art, Ort oder Gebiet sowie Beginn und Dauer der Veranstaltung,</w:t>
      </w:r>
    </w:p>
    <w:p>
      <w:r>
        <w:t xml:space="preserve">3. der Verwendungszweck des Reinertrages, die Art und Weise des Nachweises der Verwendung und der Zeitpunkt, zu dem der Nachweis zu erbringen ist,</w:t>
      </w:r>
    </w:p>
    <w:p>
      <w:r>
        <w:t xml:space="preserve">4. der Spielplan und</w:t>
      </w:r>
    </w:p>
    <w:p>
      <w:r>
        <w:t xml:space="preserve">5. die Vertriebsform.</w:t>
      </w:r>
    </w:p>
    <w:p>
      <w:r>
        <w:rPr>
          <w:color w:val="555555"/>
          <w:sz w:val="17"/>
        </w:rPr>
        <w:t xml:space="preserve">Zitiervorschlag: § 17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