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SN-19073 (Sachsen) — Erlaubnis</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Erlaubnis für die Veranstaltung einer Lotterie oder Ausspielung gemäß § 4 Absatz 1 darf anderen als den in § 10 Absatz 2 und 3 Genannten nur erteilt werden, wenn</w:t>
      </w:r>
    </w:p>
    <w:p>
      <w:r>
        <w:t xml:space="preserve">1. der Veranstaltung keine Versagungsgründe nach § 13 entgegenstehen,</w:t>
      </w:r>
    </w:p>
    <w:p>
      <w:r>
        <w:t xml:space="preserve">2. die in §§ 14, 15 Absatz 1 und 2 und § 16 Absatz 3 genannten Voraussetzungen vorliegen,</w:t>
      </w:r>
    </w:p>
    <w:p>
      <w:r>
        <w:t xml:space="preserve">3. mit der Veranstaltung keine wirtschaftlichen Zwecke verfolgt werden, die über den mit dem Hinweis auf die Bereitstellung von Gewinnen verbundenen Werbeeffekt hinausgehen, und</w:t>
      </w:r>
    </w:p>
    <w:p>
      <w:r>
        <w:t xml:space="preserve">4. nicht zu erwarten ist, dass durch die Veranstaltung selbst oder durch die Verwirklichung des Veranstaltungszwecks oder die Verwendung des Reinertrages die öffentliche Sicherheit oder Ordnung gefährdet wird oder die Beziehungen der Bundesrepublik Deutschland zu anderen Staaten beeinträchtigt werden.</w:t>
      </w:r>
    </w:p>
    <w:p>
      <w:r>
        <w:t xml:space="preserve">Satz 1 Nummer 3 gilt nicht für Lotterien in der Form des Gewinnsparens, wenn von einem Teilnahmebetrag ein Teilbetrag von höchstens 25 Prozent als Losanteil für die Gewinnsparlotterie verwendet wird.</w:t>
      </w:r>
    </w:p>
    <w:p>
      <w:r>
        <w:t xml:space="preserve">(2) In der Erlaubnis ist auch zu entscheiden, inwieweit die Anforderungen der §§ 6 bis 7 zu erfüllen sind.</w:t>
      </w:r>
    </w:p>
    <w:p>
      <w:r>
        <w:t xml:space="preserve">(3) Soll eine Lotterie mit einem einheitlichen länderübergreifenden Spielplan in allen Ländern veranstaltet werden, so wird die Erlaubnis zu deren Durchführung ländereinheitlich erteilt. Soll eine Lotterie mit einem einheitlichen länder­über­greifenden Spielplan nur in einigen Ländern veranstaltet werden, so kann das Land, in dem der Veranstalter seinen Sitz hat, die Erlaubnis auch mit Wirkung für die Länder erteilen, die dazu ermächtigt haben.</w:t>
      </w:r>
    </w:p>
    <w:p>
      <w:r>
        <w:rPr>
          <w:color w:val="555555"/>
          <w:sz w:val="17"/>
        </w:rPr>
        <w:t xml:space="preserve">Zitiervorschlag: § 12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