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SN-19073 (Sachsen) — Sicherstellung eines ausreichenden Glücksspielangebotes</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Länder haben zur Erreichung der Ziele des § 1 die ordnungsrechtliche Aufgabe, ein ausreichendes Glücksspielangebot sicherzustellen. Sie werden dabei von einem Fachbeirat beraten. Dieser setzt sich aus Personen zusammen, die im Hinblick auf die Ziele des § 1 über besondere wissenschaftliche oder praktische Erfahrungen verfügen.</w:t>
      </w:r>
    </w:p>
    <w:p>
      <w:r>
        <w:t xml:space="preserve">(2) Auf gesetzlicher Grundlage können die Länder diese öffentliche Aufgabe selbst, durch eine von allen Vertragsländern gemeinsam geführte öffentliche Anstalt, durch juristische Personen des öffentlichen Rechts oder durch privatrechtliche Gesellschaften, an denen juristische Personen des öffentlichen Rechts unmittelbar oder mittelbar maßgeblich beteiligt sind, erfüllen. Auf der Grundlage eines Verwaltungsabkommens ist auch eine gemeinschaftliche Aufgabenerfüllung oder eine Aufgabenerfüllung durch die Unternehmung eines anderen Landes möglich, das die Voraussetzungen des Satzes 1 erfüllt.</w:t>
      </w:r>
    </w:p>
    <w:p>
      <w:r>
        <w:t xml:space="preserve">(3) Klassenlotterien dürfen nur von einer von allen Vertragsländern gemeinsam getragenen Anstalt des öffentlichen Rechts veranstaltet werden.</w:t>
      </w:r>
    </w:p>
    <w:p>
      <w:r>
        <w:t xml:space="preserve">(4) Die Länder begrenzen die Zahl der Annahmestellen zur Erreichung der Ziele des § 1.</w:t>
      </w:r>
    </w:p>
    <w:p>
      <w:r>
        <w:t xml:space="preserve">(5) Es ist sicherzustellen, dass ein erheblicher Teil der Einnahmen der in Absatz 2 und 3 Genannten aus Glücksspielen zur Förderung öffentlicher oder gemeinnütziger, kirchlicher oder mildtätiger Zwecke verwendet wird.</w:t>
      </w:r>
    </w:p>
    <w:p>
      <w:r>
        <w:t xml:space="preserve">(6) Anderen als den in den Absätzen 2 und 3 Genannten darf nur die Veranstaltung von Lotterien und Ausspielungen nach den Vorschriften des Dritten Abschnitts erlaubt werden.</w:t>
      </w:r>
    </w:p>
    <w:p>
      <w:r>
        <w:rPr>
          <w:color w:val="555555"/>
          <w:sz w:val="17"/>
        </w:rPr>
        <w:t xml:space="preserve">Zitiervorschlag: § 10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