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SN-19073 (Sachsen) — Ziele des Staatsvertrages</w:t>
      </w:r>
    </w:p>
    <w:p>
      <w:r>
        <w:rPr>
          <w:color w:val="555555"/>
          <w:sz w:val="18"/>
        </w:rPr>
        <w:t xml:space="preserve">Glücksspielstaatsvertrag 2021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Ziele des Staatsvertrages sind gleichrangig</w:t>
      </w:r>
    </w:p>
    <w:p>
      <w:r>
        <w:t xml:space="preserve">1. das Entstehen von Glücksspielsucht und Wettsucht zu verhindern und die Voraussetzungen für eine wirksame Suchtbekämpfung zu schaffen,</w:t>
      </w:r>
    </w:p>
    <w:p>
      <w:r>
        <w:t xml:space="preserve">2. durch ein begrenztes, eine geeignete Alternative zum nicht erlaubten Glücksspiel darstellendes Glücksspiel­angebot den natürlichen Spieltrieb der Bevölkerung in geordnete und überwachte Bahnen zu lenken sowie der Entwicklung und Ausbreitung von unerlaubten Glücksspielen in Schwarzmärkten entgegenzuwirken,</w:t>
      </w:r>
    </w:p>
    <w:p>
      <w:r>
        <w:t xml:space="preserve">3. den Jugend- und den Spielerschutz zu gewährleisten,</w:t>
      </w:r>
    </w:p>
    <w:p>
      <w:r>
        <w:t xml:space="preserve">4. sicherzustellen, dass Glücksspiele ordnungsgemäß durchgeführt, die Spieler vor betrügerischen Machenschaften geschützt, die mit Glücksspielen verbundene Folge- und Begleitkriminalität abgewehrt werden, und</w:t>
      </w:r>
    </w:p>
    <w:p>
      <w:r>
        <w:t xml:space="preserve">5. Gefahren für die Integrität des sportlichen Wettbewerbs beim Veranstalten und Vermitteln von Sportwetten vorzubeugen.</w:t>
      </w:r>
    </w:p>
    <w:p>
      <w:r>
        <w:t xml:space="preserve">Um diese Ziele zu erreichen, sind differenzierte Maßnahmen für die einzelnen Glücksspielformen vorgesehen, um deren spezifischen Sucht-, Betrugs-, Manipulations- und Kriminalitätsgefährdungspotentialen Rechnung zu tragen.</w:t>
      </w:r>
    </w:p>
    <w:p>
      <w:r>
        <w:rPr>
          <w:color w:val="555555"/>
          <w:sz w:val="17"/>
        </w:rPr>
        <w:t xml:space="preserve">Zitiervorschlag: § 1 SN-19073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https://recht.nulegal.eu/gesetze/SN-19073/1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