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SN-19072 (Sachsen) — Inkrafttreten, Bekanntmachung</w:t>
      </w:r>
    </w:p>
    <w:p>
      <w:r>
        <w:rPr>
          <w:color w:val="555555"/>
          <w:sz w:val="18"/>
        </w:rPr>
        <w:t xml:space="preserve">Gesetz zum 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Staatskanzlei macht im Sächsischen Gesetz- und Verordnungsblatt bekannt, ob der Glücksspielstaatsvertrag 2021 nach seinem § 35 Absatz 1 in Kraft getreten oder gegenstandslos geworden ist.</w:t>
      </w:r>
    </w:p>
    <w:p>
      <w:r>
        <w:t xml:space="preserve">Dresden, den 24. März 2021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des Innern</w:t>
      </w:r>
    </w:p>
    <w:p>
      <w:r>
        <w:t xml:space="preserve">Prof. Dr. Roland Wöller</w:t>
      </w:r>
    </w:p>
    <w:p>
      <w:r>
        <w:rPr>
          <w:color w:val="555555"/>
          <w:sz w:val="17"/>
        </w:rPr>
        <w:t xml:space="preserve">Zitiervorschlag: Artikel 2 SN-19072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