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SN-19025 (Sachsen) — Inkrafttreten, Außerkrafttreten</w:t>
      </w:r>
    </w:p>
    <w:p>
      <w:r>
        <w:rPr>
          <w:color w:val="555555"/>
          <w:sz w:val="18"/>
        </w:rPr>
        <w:t xml:space="preserve">Sächsische Fluglärmschutz-Zuständigkeitsverordnung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Sächsische Fluglärmschutz-Zuständigkeitsverordnung vom 5. August 2011 (SächsGVBl. S. 311), die durch Artikel 2 der Verordnung vom 24. April 2012 (SächsGVBl. S. 256) geändert worden ist, außer Kraft.</w:t>
      </w:r>
    </w:p>
    <w:p>
      <w:r>
        <w:t xml:space="preserve">Dresden, den 16. Februar 2021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Energie, Klimaschutz, Umwelt und Landwirtschaft</w:t>
      </w:r>
    </w:p>
    <w:p>
      <w:r>
        <w:t xml:space="preserve">Wolfram Günther</w:t>
      </w:r>
    </w:p>
    <w:p>
      <w:r>
        <w:rPr>
          <w:color w:val="555555"/>
          <w:sz w:val="17"/>
        </w:rPr>
        <w:t xml:space="preserve">Zitiervorschlag: § 2 SN-19025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https://recht.nulegal.eu/gesetze/SN-19025/2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