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SN-19025 (Sachsen) — Zuständigkeit</w:t>
      </w:r>
    </w:p>
    <w:p>
      <w:r>
        <w:rPr>
          <w:color w:val="555555"/>
          <w:sz w:val="18"/>
        </w:rPr>
        <w:t xml:space="preserve">Sächsische Fluglärmschutz-Zuständigkeitsverordnung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Landesdirektion Sachsen ist die zuständige Behörde im Sinne</w:t>
      </w:r>
    </w:p>
    <w:p>
      <w:r>
        <w:t xml:space="preserve">1. des Gesetzes zum Schutz gegen Fluglärm in der Fassung der Bekanntmachung vom 31. Oktober 2007 (BGBl. I S. 2550), in der jeweils geltenden Fassung, mit Ausnahme von § 11 Absatz 1 des Gesetzes zum Schutz gegen Fluglärm ,</w:t>
      </w:r>
    </w:p>
    <w:p>
      <w:r>
        <w:t xml:space="preserve">2. der Flugplatz-Schallschutzmaßnahmenverordnung vom 8. September 2009 (BGBl. I S. 2992), in der jeweils geltenden Fassung, und</w:t>
      </w:r>
    </w:p>
    <w:p>
      <w:r>
        <w:t xml:space="preserve">3. der Fluglärm-Außenwohnbereichsentschädigungs-Verordnung vom 20. August 2013 (BGBl. I S. 3292), in der jeweils geltenden Fassung.</w:t>
      </w:r>
    </w:p>
    <w:p>
      <w:r>
        <w:t xml:space="preserve">(2) Das Staatsministerium für Energie, Klimaschutz, Umwelt und Landwirtschaft ist die zuständige Behörde im Sinne</w:t>
      </w:r>
    </w:p>
    <w:p>
      <w:r>
        <w:t xml:space="preserve">1. von § 11 Absatz 1 des Gesetzes zum Schutz gegen Fluglärm und</w:t>
      </w:r>
    </w:p>
    <w:p>
      <w:r>
        <w:t xml:space="preserve">2. der Verordnung über die Datenerfassung und das Berechnungsverfahren für die Festsetzung von Lärmschutzbereichen vom 27. Dezember 2008 (BGBl. I S. 2980), die zuletzt durch Artikel 101 der Verordnung vom 19. Juni 2020 (BGBl. I S. 1328) geändert worden ist, in der jeweils geltenden Fassung.</w:t>
      </w:r>
    </w:p>
    <w:p>
      <w:r>
        <w:rPr>
          <w:color w:val="555555"/>
          <w:sz w:val="17"/>
        </w:rPr>
        <w:t xml:space="preserve">Zitiervorschlag: § 1 SN-19025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https://recht.nulegal.eu/gesetze/SN-19025/1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