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SN-18947 (Sachsen)</w:t>
      </w:r>
    </w:p>
    <w:p>
      <w:r>
        <w:rPr>
          <w:color w:val="555555"/>
          <w:sz w:val="18"/>
        </w:rPr>
        <w:t xml:space="preserve">Sächsisches Gesetz zur Ausführung des Gesetzes zum Ausgleich von Gewerbesteuermindereinnahmen der Gemeinden infolge der COVID-19-Pandemie durch Bund und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= Artikel 1 des Zweites Gesetzes zur Unterstützung der Kommunen des Freistaates Sachsen zur Bewältigung der COVID-19-Pandemie</w:t>
      </w:r>
    </w:p>
    <w:p>
      <w:r>
        <w:t xml:space="preserve">Vom 16. Dezember 2020</w:t>
      </w:r>
    </w:p>
    <w:p>
      <w:r>
        <w:rPr>
          <w:color w:val="555555"/>
          <w:sz w:val="17"/>
        </w:rPr>
        <w:t xml:space="preserve">Zitiervorschlag: Eingangsformel SN-18947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https://recht.nulegal.eu/gesetze/SN-18947/eingangsformel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