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SN-18947 (Sachsen) — Berechnung, Festsetzung und Zahlung</w:t>
      </w:r>
    </w:p>
    <w:p>
      <w:r>
        <w:rPr>
          <w:color w:val="555555"/>
          <w:sz w:val="18"/>
        </w:rPr>
        <w:t xml:space="preserve">Sächsisches Gesetz zur Ausführung des Gesetzes zum Ausgleich von Gewerbesteuermindereinnahmen der Gemeinden infolge der COVID-19-Pandemie durch Bund und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Berechnung und Festsetzung der Zuweisungen nach diesem Gesetz findet § 31 Absatz 1 Satz 1 und 2 sowie Absatz 2 Satz 1 bis 3 des Sächsischen Finanzausgleichsgesetzes entsprechende Anwendung.</w:t>
      </w:r>
    </w:p>
    <w:p>
      <w:r>
        <w:t xml:space="preserve">(2) Mehr- oder Minderbeträge, die sich aus Berichtigungen der Festsetzung nach Absatz 1 ergeben, werden mit der nächsten auf die Berichtigung folgenden Festsetzung der Zuweisungen nach den §§ 5 und 15 des Sächsischen Finanzausgleichsgesetzes im Rahmen der für die betroffene kommunale Gebietskörperschaftsgruppe ermittelten Schlüsselmasse nach § 4 des Sächsischen Finanzausgleichsgesetzes ausgeglichen. § 31 Absatz 2 Satz 6 des Sächsischen Finanzausgleichsgesetzes gilt entsprechend.</w:t>
      </w:r>
    </w:p>
    <w:p>
      <w:r>
        <w:t xml:space="preserve">(3) Die Zuweisungen nach § 1 Satz 3 werden unverzüglich nach Inkrafttreten dieses Gesetzes bis spätestens zum 31. Dezember 2020 ausgezahlt.</w:t>
      </w:r>
    </w:p>
    <w:p>
      <w:r>
        <w:rPr>
          <w:color w:val="555555"/>
          <w:sz w:val="17"/>
        </w:rPr>
        <w:t xml:space="preserve">Zitiervorschlag: § 4 SN-18947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https://recht.nulegal.eu/gesetze/SN-18947/4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