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SN-18842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„Zwota“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(vergleiche § 3 Absatz 1) in Kraft.</w:t>
      </w:r>
    </w:p>
    <w:p>
      <w:r>
        <w:t xml:space="preserve">Dresden, den 20. Juli 2020</w:t>
      </w:r>
    </w:p>
    <w:p>
      <w:r>
        <w:t xml:space="preserve">Landesdirektion Sachsen</w:t>
      </w:r>
    </w:p>
    <w:p>
      <w:r>
        <w:t xml:space="preserve">Kraushaar</w:t>
      </w:r>
    </w:p>
    <w:p>
      <w:r>
        <w:t xml:space="preserve">Präsidentin</w:t>
      </w:r>
    </w:p>
    <w:p>
      <w:r>
        <w:t xml:space="preserve">Hinweis:</w:t>
      </w:r>
    </w:p>
    <w:p>
      <w:r>
        <w:t xml:space="preserve">Die Anlagen 1 bis 4 als Bestandteil dieser Verordnung sind auf der Homepage der Landesdirektion Sachsen unter www.lds.sachsen.de digital einsehbar.</w:t>
      </w:r>
    </w:p>
    <w:p>
      <w:r>
        <w:rPr>
          <w:color w:val="555555"/>
          <w:sz w:val="17"/>
        </w:rPr>
        <w:t xml:space="preserve">Zitiervorschlag: § 4 SN-18842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https://recht.nulegal.eu/gesetze/SN-18842/4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