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SN-18834 (Sachsen)</w:t>
      </w:r>
    </w:p>
    <w:p>
      <w:r>
        <w:rPr>
          <w:color w:val="555555"/>
          <w:sz w:val="18"/>
        </w:rPr>
        <w:t xml:space="preserve">Verordnung der Landesdirektion Sachsen zur Festsetzung des Hochwasserentstehungsgebietes „Zschopau – Teilgebiet 1“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September 2018</w:t>
      </w:r>
    </w:p>
    <w:p>
      <w:r>
        <w:t xml:space="preserve">Auf Grund von § 76 Absatz 1 Satz 2 des Sächsischen Wassergesetzes vom 12. Juli 2013 (SächsGVBl. S. 503), das zuletzt durch Artikel 2 des Gesetzes vom 8. Juli 2016 (SächsGVBl. S. 287) geändert worden ist, wird verordnet:</w:t>
      </w:r>
    </w:p>
    <w:p>
      <w:r>
        <w:rPr>
          <w:color w:val="555555"/>
          <w:sz w:val="17"/>
        </w:rPr>
        <w:t xml:space="preserve">Zitiervorschlag: Eingangsformel SN-18834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https://recht.nulegal.eu/gesetze/SN-18834/eingangsformel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