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SN-18787 (Sachsen)</w:t>
      </w:r>
    </w:p>
    <w:p>
      <w:r>
        <w:rPr>
          <w:color w:val="555555"/>
          <w:sz w:val="18"/>
        </w:rPr>
        <w:t xml:space="preserve">Gesetz zum Staatsvertrag zur Modernisierung der Medienordnung in Deutschland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Vom 15. Juli 2020</w:t>
      </w:r>
    </w:p>
    <w:p>
      <w:r>
        <w:t xml:space="preserve">Dem Staatsvertrag zur Modernisierung der Medienordnung in Deutschland vom 28. April 2020 wird zugestimmt. Der Staatsvertrag wird nachstehend veröffentlicht.</w:t>
      </w:r>
    </w:p>
    <w:p>
      <w:r>
        <w:rPr>
          <w:color w:val="555555"/>
          <w:sz w:val="17"/>
        </w:rPr>
        <w:t xml:space="preserve">Zitiervorschlag: Eingangsformel SN-18787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https://recht.nulegal.eu/gesetze/SN-18787/eingangsformel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