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SN-18734 (Sachsen) — Auswahl nach Wartezeit</w:t>
      </w:r>
    </w:p>
    <w:p>
      <w:r>
        <w:rPr>
          <w:color w:val="555555"/>
          <w:sz w:val="18"/>
        </w:rPr>
        <w:t xml:space="preserve">Sächsische Studienplatzvergabeverordnung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Bei der Auswahl nach Wartezeit wird die Rangfolge durch die Zahl der seit dem Erwerb der Hochschulzugangsberechtigung verstrichenen Halbjahre bestimmt. Bei der Berechnung der Wartezeit zählen nur volle Halbjahre vom Zeitpunkt des Erwerbs der Hochschulzugangsberechtigung bis zum Beginn des Semesters, für das die Zulassung beantragt wird. Halbjahre sind die Zeit vom 1. April bis zum 30. September eines Jahres (Sommersemester) und die Zeit vom 1. Oktober eines Jahres bis zum 31. März des folgenden Jahres (Wintersemester). Wird der Zeitpunkt des Erwerbs der Hochschulzugangsberechtigung nicht nachgewiesen, wird die Zahl der Halbjahre seit dem Erwerb der Hochschulzugangsberechtigung nicht berücksichtigt.</w:t>
      </w:r>
    </w:p>
    <w:p>
      <w:r>
        <w:t xml:space="preserve">(2) Wer nachweist, aus nicht selbst zu vertretenden Umständen daran gehindert gewesen zu sein, die Hochschulzugangsberechtigung zu einem früheren Zeitpunkt zu erwerben, wird auf Antrag bei der Ermittlung der Wartezeit mit dem früheren Zeitpunkt des Erwerbs der Hochschulzugangsberechtigung berücksichtigt.</w:t>
      </w:r>
    </w:p>
    <w:p>
      <w:r>
        <w:t xml:space="preserve">(3) Ist vor dem Erwerb der Hochschulzugangsberechtigung ein berufsqualifizierender Abschluss außerhalb der Hochschule erlangt und die Hochschulzugangsberechtigung vor dem 16. Juli 2007 erworben worden, wird die Zahl der Halbjahre um ein für je sechs Monate Berufsausbildung, höchstens jedoch um zwei Halbjahre erhöht. Ist im Falle des Satzes 1 die Hochschulzugangsberechtigung vor dem 16. Januar 2002 erworben worden, wird die Zahl der Halbjahre um bis zu vier erhöht. Dies gilt entsprechend, wenn Gründe gemäß Artikel 8 Absatz 3 Satz 1 des Staatsvertrags eine Bewerberin oder einen Bewerber daran gehindert haben, vor dem Erwerb der Hochschulzugangsberechtigung einen berufsqualifizierenden Abschluss außerhalb der Hochschule zu erlangen, sofern der berufsqualifizierende Abschluss zu einer Erhöhung der Zahl der Halbjahre nach Satz 1 oder Satz 2 geführt hätte.</w:t>
      </w:r>
    </w:p>
    <w:p>
      <w:r>
        <w:t xml:space="preserve">(4) Ein berufsqualifizierender Abschluss nach Absatz 3 liegt vor bei</w:t>
      </w:r>
    </w:p>
    <w:p>
      <w:r>
        <w:t xml:space="preserve">1. Ausbildungsberufen, die in dem Verzeichnis der anerkannten Ausbildungsberufe nach § 90 Absatz 3 Nummer 3 des Berufsbildungsgesetzes in der Fassung der Bekanntmachung vom 4. Mai 2020 (BGBl. I S. 920), in der jeweils geltenden Fassung, enthalten sind,</w:t>
      </w:r>
    </w:p>
    <w:p>
      <w:r>
        <w:t xml:space="preserve">2. erfolgreichem Abschluss eines berufsqualifizierenden Bildungsgangs an einer öffentlichen Berufsfachschule oder Fachschule oder einer entsprechenden staatlich anerkannten Ersatzschule,</w:t>
      </w:r>
    </w:p>
    <w:p>
      <w:r>
        <w:t xml:space="preserve">3. einer abgeschlossenen Ausbildung in der ersten oder zweiten Einstiegsebene der Laufbahngruppe 1 der öffentlichen Verwaltung,</w:t>
      </w:r>
    </w:p>
    <w:p>
      <w:r>
        <w:t xml:space="preserve">4. einer abgeschlossenen Berufsausbildung, die nach Artikel 37 Absatz 1 oder Absatz 3 des Einigungsvertrages einer Berufsausbildung nach den Nummern 1 bis 3 gleichzustellen ist.</w:t>
      </w:r>
    </w:p>
    <w:p>
      <w:r>
        <w:t xml:space="preserve">Ein berufsqualifizierender Abschluss nach Absatz 3 Satz 1 mit zweijähriger Ausbildungsdauer gilt als nachgewiesen, wenn die Hochschulzugangsberechtigung an einem Abendgymnasium oder an einem Kolleg erworben worden ist.</w:t>
      </w:r>
    </w:p>
    <w:p>
      <w:r>
        <w:t xml:space="preserve">(5) Von der Gesamtzahl der Halbjahre wird die Zahl der Halbjahre abgezogen, in denen die Bewerberin oder der Bewerber an einer deutschen Hochschule als Studierende oder Studierender eingeschrieben war.</w:t>
      </w:r>
    </w:p>
    <w:p>
      <w:r>
        <w:rPr>
          <w:color w:val="555555"/>
          <w:sz w:val="17"/>
        </w:rPr>
        <w:t xml:space="preserve">Zitiervorschlag: § 35 SN-18734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https://recht.nulegal.eu/gesetze/SN-18734/35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