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SN-18734 (Sachsen) — Auswahl nach Abiturnote</w:t>
      </w:r>
    </w:p>
    <w:p>
      <w:r>
        <w:rPr>
          <w:color w:val="555555"/>
          <w:sz w:val="18"/>
        </w:rPr>
        <w:t xml:space="preserve">Sächsische Studienplatzvergabeverordnung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der Auswahl nach Abiturnote wird die Rangfolge durch die nach Anlage 2 ermittelte Durchschnittsnote bestimmt.</w:t>
      </w:r>
    </w:p>
    <w:p>
      <w:r>
        <w:t xml:space="preserve">(2) Wer keine Durchschnittsnote nachweist, wird hinter der letzten Bewerberin oder dem letzten Bewerber mit feststellbarer Durchschnittsnote eingeordnet.</w:t>
      </w:r>
    </w:p>
    <w:p>
      <w:r>
        <w:t xml:space="preserve">(3) Wer nachweist, aus nicht selbst zu vertretenden Umständen daran gehindert gewesen zu sein, eine bessere Durchschnittsnote zu erreichen, wird auf Antrag mit der besseren Durchschnittsnote berücksichtigt.</w:t>
      </w:r>
    </w:p>
    <w:p>
      <w:r>
        <w:rPr>
          <w:color w:val="555555"/>
          <w:sz w:val="17"/>
        </w:rPr>
        <w:t xml:space="preserve">Zitiervorschlag: § 34 SN-18734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https://recht.nulegal.eu/gesetze/SN-18734/34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