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SN-18734 (Sachsen) — Teilstudienplätze</w:t>
      </w:r>
    </w:p>
    <w:p>
      <w:r>
        <w:rPr>
          <w:color w:val="555555"/>
          <w:sz w:val="18"/>
        </w:rPr>
        <w:t xml:space="preserve">Sächsische Studienplatzvergabeverordnung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Teilstudienplätze werden getrennt von den übrigen Studienplätzen von der Stiftung vergeben. Die festgesetzte Zahl an Teilstudienplätzen, vermindert um die Zahl der nach § 20 Auszuwählenden, wird jeweils im Anschluss an das Koordinierungsverfahren nach § 5 durch das Los an Bewerberinnen und Bewerber vergeben, die eine Zulassung zu einem Teilstudienplatz beantragt haben. Das Los bestimmt sich nach § 4 Absatz 2.</w:t>
      </w:r>
    </w:p>
    <w:p>
      <w:r>
        <w:rPr>
          <w:color w:val="555555"/>
          <w:sz w:val="17"/>
        </w:rPr>
        <w:t xml:space="preserve">Zitiervorschlag: § 21 SN-18734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https://recht.nulegal.eu/gesetze/SN-18734/21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