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SN-18734 (Sachsen) — Auswahl für ein Zweitstudium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Rangfolge der Bewerberinnen und Bewerber für ein Zweitstudium wird durch die nach Anlage 1 ermittelte Messzahl bestimmt.</w:t>
      </w:r>
    </w:p>
    <w:p>
      <w:r>
        <w:t xml:space="preserve">(2) Soweit ein Zweitstudium aus wissenschaftlichen Gründen angestrebt wird, erfolgt die Auswahl nach den Feststellungen der Hochschule, die für den jeweiligen Stu­dien­gang im ersten Zulassungsantrag im Vergabeverfahren in höchster Präferenz genannt wurde und die den Studiengang anbietet. Eine nachträgliche Änderung der Präferenzen oder Rücknahme von Anträgen ist unbeachtlich.</w:t>
      </w:r>
    </w:p>
    <w:p>
      <w:r>
        <w:rPr>
          <w:color w:val="555555"/>
          <w:sz w:val="17"/>
        </w:rPr>
        <w:t xml:space="preserve">Zitiervorschlag: § 14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