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SN-18599 (Sachsen) — Inkrafttreten</w:t>
      </w:r>
    </w:p>
    <w:p>
      <w:r>
        <w:rPr>
          <w:color w:val="555555"/>
          <w:sz w:val="18"/>
        </w:rPr>
        <w:t xml:space="preserve">Verordnung der Landesdirektion Sachsen zur Festsetzung des Hochwasserentstehungsgebietes „Sächsische Schweiz – rechtselbisch“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Ablauf der Auslegungsfrist gemäß § 3 Absatz 1 in Kraft.</w:t>
      </w:r>
    </w:p>
    <w:p>
      <w:r>
        <w:t xml:space="preserve">Dresden, den 30. Januar 2020</w:t>
      </w:r>
    </w:p>
    <w:p>
      <w:r>
        <w:t xml:space="preserve">Landesdirektion Sachsen</w:t>
      </w:r>
    </w:p>
    <w:p>
      <w:r>
        <w:t xml:space="preserve">Gökelmann</w:t>
      </w:r>
    </w:p>
    <w:p>
      <w:r>
        <w:t xml:space="preserve">Präsident</w:t>
      </w:r>
    </w:p>
    <w:p>
      <w:r>
        <w:rPr>
          <w:color w:val="555555"/>
          <w:sz w:val="17"/>
        </w:rPr>
        <w:t xml:space="preserve">Zitiervorschlag: § 4 SN-18599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https://recht.nulegal.eu/gesetze/SN-18599/4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