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SN-18376 (Sachsen) — Anwendung weiterer Vorschriften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folgenden Vorschriften des Sächsischen Datenschutz-Umsetzungsgesetzes finden entsprechende Anwendung:</w:t>
      </w:r>
    </w:p>
    <w:p>
      <w:r>
        <w:t xml:space="preserve">1. die §§ 16 und 17 über die Anrufung der oder des Sächsischen Datenschutzbeauftragten und den Rechtsschutz gegen deren oder dessen Entscheidungen oder deren oder dessen Untätigkeit,</w:t>
      </w:r>
    </w:p>
    <w:p>
      <w:r>
        <w:t xml:space="preserve">2. § 21 über die Meldung von Verletzungen des Schutzes personenbezogener Daten an die Sächsische Datenschutzbeauftragte oder den Sächsischen Datenschutzbeauftragten und § 22 über die Benachrichtigung der von einer Verletzung des Schutzes personenbezogener Daten betroffenen Person,</w:t>
      </w:r>
    </w:p>
    <w:p>
      <w:r>
        <w:t xml:space="preserve">3. § 24 über die Zusammenarbeit mit der oder dem Sächsischen Datenschutzbeauftragten und § 25 über deren oder dessen Anhörung vor der Inbetriebnahme neu anzulegender Dateisysteme,</w:t>
      </w:r>
    </w:p>
    <w:p>
      <w:r>
        <w:t xml:space="preserve">4. die §§ 34 bis 36 über die Benennung, die Stellung und die Aufgaben der behördlichen Datenschutzbeauftragten,</w:t>
      </w:r>
    </w:p>
    <w:p>
      <w:r>
        <w:t xml:space="preserve">5. § 37 Absatz 1 und die §§ 38 bis 40 über die datenschutzrechtliche Aufsicht durch die Sächsische Datenschutzbeauftragte oder den Sächsischen Datenschutzbeauftragten,</w:t>
      </w:r>
    </w:p>
    <w:p>
      <w:r>
        <w:t xml:space="preserve">6. § 41 über den Tätigkeitsbericht,</w:t>
      </w:r>
    </w:p>
    <w:p>
      <w:r>
        <w:t xml:space="preserve">7. Abschnitt 7 über die Datenübermittlung an Drittstaaten und an internationale Organisationen,</w:t>
      </w:r>
    </w:p>
    <w:p>
      <w:r>
        <w:t xml:space="preserve">8. § 46 über die gegenseitige Amtshilfe und</w:t>
      </w:r>
    </w:p>
    <w:p>
      <w:r>
        <w:t xml:space="preserve">9. § 47 über den Anspruch auf Schadenersatz und Entschädigung.</w:t>
      </w:r>
    </w:p>
    <w:p>
      <w:r>
        <w:rPr>
          <w:color w:val="555555"/>
          <w:sz w:val="17"/>
        </w:rPr>
        <w:t xml:space="preserve">Zitiervorschlag: § 65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