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SN-18376 (Sachsen) — Erkennungsdienstliche Maßnahmen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vollzuglichen Zwecken, insbesondere zur Identitätsfeststellung sowie zur Aufrechterhaltung der Sicherheit und Ordnung in der Anstalt, sind mit Kenntnis der Gefangenen folgende erkennungsdienstliche Maßnahmen zulässig:</w:t>
      </w:r>
    </w:p>
    <w:p>
      <w:r>
        <w:t xml:space="preserve">1. die Aufnahme von Lichtbildern,</w:t>
      </w:r>
    </w:p>
    <w:p>
      <w:r>
        <w:t xml:space="preserve">2. die Abnahme von Finger- und Handflächenabdrücken,</w:t>
      </w:r>
    </w:p>
    <w:p>
      <w:r>
        <w:t xml:space="preserve">3. die Feststellung äußerlicher körperlicher Merkmale,</w:t>
      </w:r>
    </w:p>
    <w:p>
      <w:r>
        <w:t xml:space="preserve">4. Messungen,</w:t>
      </w:r>
    </w:p>
    <w:p>
      <w:r>
        <w:t xml:space="preserve">5. die Erfassung biometrischer Merkmale von Fingern, Händen, Gesicht, Augen und der Stimme sowie</w:t>
      </w:r>
    </w:p>
    <w:p>
      <w:r>
        <w:t xml:space="preserve">6. die Erfassung der Unterschrift.</w:t>
      </w:r>
    </w:p>
    <w:p>
      <w:r>
        <w:t xml:space="preserve">(2) Bei Maßnahmen nach Absatz 1 erhobene Daten (erkennungsdienstliche Daten) werden zu den Gefangenenpersonalakten genommen oder in personenbezogenen Dateisystemen gespeichert. Sie sind so zu sichern, dass eine Kenntnisnahme nur zu den in den Absätzen 3 und 4 genannten Zwecken möglich ist.</w:t>
      </w:r>
    </w:p>
    <w:p>
      <w:r>
        <w:t xml:space="preserve">(3) Erkennungsdienstliche Daten dürfen nur gespeichert und genutzt werden:</w:t>
      </w:r>
    </w:p>
    <w:p>
      <w:r>
        <w:t xml:space="preserve">1. für die Zwecke, zu denen sie erhoben wurden,</w:t>
      </w:r>
    </w:p>
    <w:p>
      <w:r>
        <w:t xml:space="preserve">2. zur Identifikation Gefangener, soweit dies für Zwecke der Fahndung und Festnahme entwichener oder sich sonst ohne Erlaubnis außerhalb der Anstalt aufhaltender Gefangener erforderlich ist oder</w:t>
      </w:r>
    </w:p>
    <w:p>
      <w:r>
        <w:t xml:space="preserve">3. für die in § 10 Absatz 2 Nummer 5, §§ 17 und 30 genannten Zwecke.</w:t>
      </w:r>
    </w:p>
    <w:p>
      <w:r>
        <w:t xml:space="preserve">(4) Erkennungsdienstliche Daten dürfen nur übermittelt werden an:</w:t>
      </w:r>
    </w:p>
    <w:p>
      <w:r>
        <w:t xml:space="preserve">1. Strafvollstreckungs- und Strafverfolgungsbehörden, soweit dies für Zwecke der Fahndung nach und Festnahme von entwichenen oder sich sonst ohne Erlaubnis außerhalb der Anstalt aufhaltenden Gefangenen erforderlich ist,</w:t>
      </w:r>
    </w:p>
    <w:p>
      <w:r>
        <w:t xml:space="preserve">2. Polizeibehörden des Bundes und der Länder, soweit dies zur Abwehr einer gegenwärtigen in der Anstalt drohenden Gefahr für Leben, Gesundheit oder Freiheit von Personen oder für erhebliche Sachwerte erforderlich ist,</w:t>
      </w:r>
    </w:p>
    <w:p>
      <w:r>
        <w:t xml:space="preserve">3. Ausländerbehörden, soweit dies für die in § 12 Absatz 3 Satz 1 Nummer 2 Buchstabe g genannten Zwecke erforderlich ist,</w:t>
      </w:r>
    </w:p>
    <w:p>
      <w:r>
        <w:t xml:space="preserve">4. die in den §§ 17 und 30 genannten öffentlichen Stellen unter den dort genannten Voraussetzungen und</w:t>
      </w:r>
    </w:p>
    <w:p>
      <w:r>
        <w:t xml:space="preserve">5. öffentliche Stellen auf deren Ersuchen, soweit die betroffenen Personen verpflichtet sind, eine unmittelbare Erhebung der zu übermittelnden Daten durch diese zu dulden oder an einer solchen Erhebung mitzuwirken; die ersuchende öffentliche Stelle hat in ihrem Ersuchen die Rechtsgrundlage der Mitwirkungs- oder Duldungspflicht mitzuteilen; beruht diese Pflicht auf einer Anordnung gegenüber den betroffenen Personen im Einzelfall, weist die ersuchende Stelle zugleich nach, dass eine entsprechende Anordnung ergangen und vollziehbar ist.</w:t>
      </w:r>
    </w:p>
    <w:p>
      <w:r>
        <w:t xml:space="preserve">(5) Erkennungsdienstliche Daten sind nach der Entlassung der Gefangenen unverzüglich zu löschen; die §§ 59 und 60 bleiben unberührt. Die Löschung ist in den Gefangenenpersonalakten zu dokumentieren.</w:t>
      </w:r>
    </w:p>
    <w:p>
      <w:r>
        <w:rPr>
          <w:color w:val="555555"/>
          <w:sz w:val="17"/>
        </w:rPr>
        <w:t xml:space="preserve">Zitiervorschlag: § 29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