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SN-18361 (Sachsen) — Kostentragung</w:t>
      </w:r>
    </w:p>
    <w:p>
      <w:r>
        <w:rPr>
          <w:color w:val="555555"/>
          <w:sz w:val="18"/>
        </w:rPr>
        <w:t xml:space="preserve">Sächsisches Atom- und Strahlenschutzausführungsgesetz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und Kreisfreien Städte erhalten für Kosten, die durch die Ausführung des radiologischen Notfallschutzes nach § 3 Absatz 4 Satz 1 Nummer 1 sowie für die Bevorratung und Verteilung von Schutzwirkstoffen nach § 104 Absatz 1 des Strahlenschutzgesetzes entstehen, einen finanziellen Ausgleich. Das Nähere regelt das Staatsministerium für Umwelt und Landwirtschaft durch Rechtsverordnung. Den Ausgleich für die Wahrnehmung der Aufgaben zur Bewältigung eines Notfalls nach § 5 Absatz 26 des Strahlenschutzgesetzes regelt die Staatsregierung durch gesonderte, anlassbezogene Rechtsverordnung.</w:t>
      </w:r>
    </w:p>
    <w:p>
      <w:r>
        <w:rPr>
          <w:color w:val="555555"/>
          <w:sz w:val="17"/>
        </w:rPr>
        <w:t xml:space="preserve">Zitiervorschlag: § 6 SN-18361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https://recht.nulegal.eu/gesetze/SN-18361/6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