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16 SN-18333 (Sachsen) — Ordnungswidrigkeiten</w:t>
      </w:r>
    </w:p>
    <w:p>
      <w:r>
        <w:rPr>
          <w:color w:val="555555"/>
          <w:sz w:val="18"/>
        </w:rPr>
        <w:t xml:space="preserve">Staatsvertrag über die Hochschulzulassung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Ordnungswidrig handelt, wer bei einer Bewerbung gegenüber der Stiftung vorsätzlich oder fahrlässig falsche Angaben über die für die Vergabe der Studienplätze maßgeblichen Daten macht.</w:t>
      </w:r>
    </w:p>
    <w:p>
      <w:r>
        <w:t xml:space="preserve">(2) Die Ordnungswidrigkeit kann mit einer Geldbuße bis zu fünftausend Euro geahndet werden.</w:t>
      </w:r>
    </w:p>
    <w:p>
      <w:r>
        <w:t xml:space="preserve">(3) Zuständige Verwaltungsbehörde im Sinne des § 36 Absatz 1 Nummer 1 des Gesetzes über Ordnungswidrigkeiten ist die Stiftung.</w:t>
      </w:r>
    </w:p>
    <w:p>
      <w:r>
        <w:rPr>
          <w:color w:val="555555"/>
          <w:sz w:val="17"/>
        </w:rPr>
        <w:t xml:space="preserve">Zitiervorschlag: Artikel 16 SN-18333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https://recht.nulegal.eu/gesetze/SN-18333/16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