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13 SN-18333 (Sachsen) — Beschlussfassung</w:t>
      </w:r>
    </w:p>
    <w:p>
      <w:r>
        <w:rPr>
          <w:color w:val="555555"/>
          <w:sz w:val="18"/>
        </w:rPr>
        <w:t xml:space="preserve">Staatsvertrag über die Hochschulzulassung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Stiftung beschließt über</w:t>
      </w:r>
    </w:p>
    <w:p>
      <w:r>
        <w:t xml:space="preserve">1. Vorschläge für die von den Ländern zu erlassenden Rechtsverordnungen (Artikel 12),</w:t>
      </w:r>
    </w:p>
    <w:p>
      <w:r>
        <w:t xml:space="preserve">2. die Einbeziehung von Studiengängen in das Zentrale Vergabeverfahren (Artikel 7 Sätze 2 und 3),</w:t>
      </w:r>
    </w:p>
    <w:p>
      <w:r>
        <w:t xml:space="preserve">3. die Aufhebung der Einbeziehung (Artikel 7 Satz 4).</w:t>
      </w:r>
    </w:p>
    <w:p>
      <w:r>
        <w:t xml:space="preserve">(2) ¹In diesen Angelegenheiten ist das Entscheidungsorgan der Stiftung beschlussfähig, wenn mindestens die Hälfte der Vertreterinnen und Vertreter der Länder anwesend ist. ²Ein Land kann die Vertreterin oder den Vertreter eines anderen Landes zur Ausübung des Stimmrechts ermächtigen.</w:t>
      </w:r>
    </w:p>
    <w:p>
      <w:r>
        <w:t xml:space="preserve">(3) Für Beschlüsse nach Absatz 1 ist eine Mehrheit von drei Vierteln der Stimmen der Ländervertreterinnen und Ländervertreter erforderlich.</w:t>
      </w:r>
    </w:p>
    <w:p>
      <w:r>
        <w:rPr>
          <w:color w:val="555555"/>
          <w:sz w:val="17"/>
        </w:rPr>
        <w:t xml:space="preserve">Zitiervorschlag: Artikel 13 SN-18333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https://recht.nulegal.eu/gesetze/SN-18333/13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