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SN-18296 (Sachsen) — Umsatzsteuer</w:t>
      </w:r>
    </w:p>
    <w:p>
      <w:r>
        <w:rPr>
          <w:color w:val="555555"/>
          <w:sz w:val="18"/>
        </w:rPr>
        <w:t xml:space="preserve">Sächsische Vermessungskostenverordnung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Unterliegt die öffentlich-rechtliche Leistung der Umsatzsteuer, wird diese auf den Kostenschuldner umgelegt. In diesen Fällen erhöht sich die jeweilige Gebühr um die gesetzliche Umsatzsteuer.</w:t>
      </w:r>
    </w:p>
    <w:p>
      <w:r>
        <w:rPr>
          <w:color w:val="555555"/>
          <w:sz w:val="17"/>
        </w:rPr>
        <w:t xml:space="preserve">Zitiervorschlag: § 3 SN-18296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https://recht.nulegal.eu/gesetze/SN-18296/3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