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SN-18296 (Sachsen) — Anwendungsbereich</w:t>
      </w:r>
    </w:p>
    <w:p>
      <w:r>
        <w:rPr>
          <w:color w:val="555555"/>
          <w:sz w:val="18"/>
        </w:rPr>
        <w:t xml:space="preserve">Sächsische Vermessungskostenverordnung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Vermessungsbehörden sowie die Öffentlich bestellten Vermessungsingenieurinnen und -ingenieure nach § 2 Absatz 1 des Sächsischen Vermessungs- und Katastergesetzes vom 29. Januar 2008 (SächsGVBl. S. 138, 148), das zuletzt durch Artikel 15 der Verordnung vom 12. April 2021 (SächsGVBl. S. 517) geändert worden ist, in der jeweils geltenden Fassung, und die Sonderungsbehörden nach § 1 Nummer 1 und 2 des Bodensonderungsgesetzes vom 20. Dezember 1993 (BGBl. I S. 2182, 2215), das zuletzt durch Artikel 186 der Verordnung vom 31. August 2015 (BGBl. I S. 1474) geändert worden ist, in der jeweils geltenden Fassung, erheben für die von ihnen vorgenommenen öffentlich-rechtlichen Leistungen Kosten (Gebühren und Auslagen) nach den Anlagen 1 und 2 zu dieser Verordnung.</w:t>
      </w:r>
    </w:p>
    <w:p>
      <w:r>
        <w:t xml:space="preserve">(2) Diese Verordnung findet keine Anwendung, soweit Leistungen der Vermessungsverwaltung in Erfüllung von Verwaltungsvereinbarungen mit dem Bund oder anderen Ländern erbracht werden und die Abgeltung dort geregelt wird.</w:t>
      </w:r>
    </w:p>
    <w:p>
      <w:r>
        <w:t xml:space="preserve">(3) Soweit im Sächsischen Vermessungs- und Katastergesetz , in der Sächsischen Gutachterausschussverordnung vom 15. November 2011 (SächsGVBl. S. 598), die zuletzt durch Verordnung vom 25. März 2021 (SächsGVBl. S. 426) geändert worden ist, in der jeweils geltenden Fassung, oder in dieser Verordnung nichts Abweichendes bestimmt ist, finden die Regelungen des Abschnitts 1 des Sächsischen Verwaltungskostengesetzes vom 5. April 2019 (SächsGVBl. S. 245), in der jeweils geltenden Fassung, entsprechend Anwendung.</w:t>
      </w:r>
    </w:p>
    <w:p>
      <w:r>
        <w:rPr>
          <w:color w:val="555555"/>
          <w:sz w:val="17"/>
        </w:rPr>
        <w:t xml:space="preserve">Zitiervorschlag: § 1 SN-18296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https://recht.nulegal.eu/gesetze/SN-18296/1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