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SN-18163 (Sachsen) — Inkrafttreten</w:t>
      </w:r>
    </w:p>
    <w:p>
      <w:r>
        <w:rPr>
          <w:color w:val="555555"/>
          <w:sz w:val="18"/>
        </w:rPr>
        <w:t xml:space="preserve">Sächsische Wohnpflichtverlängerungsverordnung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 nach der Verkündung in Kraft.</w:t>
      </w:r>
    </w:p>
    <w:p>
      <w:r>
        <w:t xml:space="preserve">Dresden, den 3. Mai 2019</w:t>
      </w:r>
    </w:p>
    <w:p>
      <w:r>
        <w:t xml:space="preserve">Der Staatsminister des Innern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§ 4 SN-18163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https://recht.nulegal.eu/gesetze/SN-18163/4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