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SN-1805 (Sachsen) — Inkrafttreten</w:t>
      </w:r>
    </w:p>
    <w:p>
      <w:r>
        <w:rPr>
          <w:color w:val="555555"/>
          <w:sz w:val="18"/>
        </w:rPr>
        <w:t xml:space="preserve">Verordnung des Sächsischen Staatsministeriums der Finanzen zur Übertragung der Zuständigkeit zur Regelung der Wertausgleichsansprüche auf die Regierungspräsidien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23. Mai 1997</w:t>
      </w:r>
    </w:p>
    <w:p>
      <w:r>
        <w:t xml:space="preserve">Der Staatsminister der Finanzen</w:t>
      </w:r>
    </w:p>
    <w:p>
      <w:r>
        <w:t xml:space="preserve">Prof. Dr. Georg Milbradt</w:t>
      </w:r>
    </w:p>
    <w:p>
      <w:r>
        <w:rPr>
          <w:color w:val="555555"/>
          <w:sz w:val="17"/>
        </w:rPr>
        <w:t xml:space="preserve">Zitiervorschlag: § 2 SN-1805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https://recht.nulegal.eu/gesetze/SN-1805/2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