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SN-1799 (Sachsen) — Inkrafttreten</w:t>
      </w:r>
    </w:p>
    <w:p>
      <w:r>
        <w:rPr>
          <w:color w:val="555555"/>
          <w:sz w:val="18"/>
        </w:rPr>
        <w:t xml:space="preserve">Verordnung des Sächsischen Staatsministeriums für Regionalentwicklung über Belegungsbindungen im Freistaat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1. Januar 1996 in Kraft.</w:t>
      </w:r>
    </w:p>
    <w:p>
      <w:r>
        <w:t xml:space="preserve">Dresden, den 29. Dezember 1995</w:t>
      </w:r>
    </w:p>
    <w:p>
      <w:r>
        <w:t xml:space="preserve">Der Staatsminister des Innern</w:t>
      </w:r>
    </w:p>
    <w:p>
      <w:r>
        <w:t xml:space="preserve">Klaus Hardraht</w:t>
      </w:r>
    </w:p>
    <w:p>
      <w:r>
        <w:rPr>
          <w:color w:val="555555"/>
          <w:sz w:val="17"/>
        </w:rPr>
        <w:t xml:space="preserve">Zitiervorschlag: § 2 SN-1799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https://recht.nulegal.eu/gesetze/SN-1799/2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