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SN-17957 (Sachsen)</w:t>
      </w:r>
    </w:p>
    <w:p>
      <w:r>
        <w:rPr>
          <w:color w:val="555555"/>
          <w:sz w:val="18"/>
        </w:rPr>
        <w:t xml:space="preserve">Gesetz über die Errichtung eines Sondervermögens „Beseitigung Schadensfolgen Extremwetterereignisse – Forst“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erlassen als Artikel 25 des Gesetzes begleitender Regelungen zum Doppelhaushalt 2019/2020</w:t>
      </w:r>
    </w:p>
    <w:p>
      <w:r>
        <w:t xml:space="preserve">(Haushaltsbegleitgesetz 2019/2020 – HBG 2019/2020)</w:t>
      </w:r>
    </w:p>
    <w:p>
      <w:r>
        <w:t xml:space="preserve">Vom 14. Dezember 2018</w:t>
      </w:r>
    </w:p>
    <w:p>
      <w:r>
        <w:rPr>
          <w:color w:val="555555"/>
          <w:sz w:val="17"/>
        </w:rPr>
        <w:t xml:space="preserve">Zitiervorschlag: Eingangsformel SN-17957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https://recht.nulegal.eu/gesetze/SN-17957/eingangsformel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