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SN-17957 (Sachsen) — Finanzierung und Verwaltung</w:t>
      </w:r>
    </w:p>
    <w:p>
      <w:r>
        <w:rPr>
          <w:color w:val="555555"/>
          <w:sz w:val="18"/>
        </w:rPr>
        <w:t xml:space="preserve">Gesetz über die Errichtung eines Sondervermögens „Beseitigung Schadensfolgen Extremwetterereignisse – Forst“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Fonds erhält Zuführungen aus dem Staatshaushalt im Haushaltsjahr 2018 in Höhe von 39 432 000 Euro und aus dem Haushaltsjahr 2019 in Höhe von 51 927 000 Euro.</w:t>
      </w:r>
    </w:p>
    <w:p>
      <w:r>
        <w:t xml:space="preserve">(2) Das Fondsvermögen verbleibt unverzinst im Liquiditätsmanagement des Freistaates Sachsen.</w:t>
      </w:r>
    </w:p>
    <w:p>
      <w:r>
        <w:t xml:space="preserve">(3) Die Mittel werden direkt aus dem Fonds an die Empfänger ausgezahlt. Sofern die Mittel der Komplementärfinanzierung von Drittmittelprogrammen dienen, erfolgt die Ausreichung der Mittel über den Staatshaushalt.</w:t>
      </w:r>
    </w:p>
    <w:p>
      <w:r>
        <w:t xml:space="preserve">(4) Rückzahlungen von den Empfängern aus Maßnahmen nach § 2 Absatz 1 Satz 2 Nummer 2 fließen den jeweiligen Ausgabetiteln des Fonds zu.</w:t>
      </w:r>
    </w:p>
    <w:p>
      <w:r>
        <w:t xml:space="preserve">(5) Die Bindung der zugeführten Mittel erfolgt bedarfsabhängig auf der Grundlage eines Verwendungskonzeptes.</w:t>
      </w:r>
    </w:p>
    <w:p>
      <w:r>
        <w:rPr>
          <w:color w:val="555555"/>
          <w:sz w:val="17"/>
        </w:rPr>
        <w:t xml:space="preserve">Zitiervorschlag: § 4 SN-17957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https://recht.nulegal.eu/gesetze/SN-17957/4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