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SN-17848 (Sachsen)</w:t>
      </w:r>
    </w:p>
    <w:p>
      <w:r>
        <w:rPr>
          <w:color w:val="555555"/>
          <w:sz w:val="18"/>
        </w:rPr>
        <w:t xml:space="preserve">Polizeiverordnung des Sächsischen Staatsministeriums des Innern über das Verbot des Mitführens gefährlicher Gegenstände in 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erlassen als Artikel 2 der Verordnung des Sächsischen Staatsministeriums des Innern über die Einrichtung einer Verbotszone zum Schutz vor Waffen und gefährlichen Gegenständen in Leipzig</w:t>
      </w:r>
    </w:p>
    <w:p>
      <w:r>
        <w:t xml:space="preserve">Vom 4. Oktober 2018</w:t>
      </w:r>
    </w:p>
    <w:p>
      <w:r>
        <w:rPr>
          <w:color w:val="555555"/>
          <w:sz w:val="17"/>
        </w:rPr>
        <w:t xml:space="preserve">Zitiervorschlag: Eingangsformel SN-17848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https://recht.nulegal.eu/gesetze/SN-17848/eingangsformel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