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SN-17848 (Sachsen) — Ordnungswidrigkeiten</w:t>
      </w:r>
    </w:p>
    <w:p>
      <w:r>
        <w:rPr>
          <w:color w:val="555555"/>
          <w:sz w:val="18"/>
        </w:rPr>
        <w:t xml:space="preserve">Polizeiverordnung des Sächsischen Staatsministeriums des Innern über das Verbot des Mitführens gefährlicher Gegenstände in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17 Absatz 1 des Polizeigesetzes des Freistaates Sachsen handelt, wer innerhalb des in § 1 beschriebenen Gebietes entgegen § 1 vorsätzlich oder fahrlässig einen gefährlichen Gegenstand mitführt.</w:t>
      </w:r>
    </w:p>
    <w:p>
      <w:r>
        <w:t xml:space="preserve">(2) Die Ordnungswidrigkeit kann mit einer Geldbuße bis zu tausend Euro geahndet werden.</w:t>
      </w:r>
    </w:p>
    <w:p>
      <w:r>
        <w:t xml:space="preserve">(3) Zuständig zur Ahndung und Verfolgung der Ordnungswidrigkeiten ist die Kreispolizeibehörde als Verwaltungsbehörde im Sinne des § 36 Absatz 1 Nummer 1 des Gesetzes über Ordnungswidrigkeiten in der Fassung der Bekanntmachung vom 19. Februar 1987 (BGBl. I S. 602), das zuletzt durch Artikel 5 des Gesetzes vom 27. August 2017 (BGBl. I S. 3295) geändert worden ist, in der jeweils geltenden Fassung.</w:t>
      </w:r>
    </w:p>
    <w:p>
      <w:r>
        <w:rPr>
          <w:color w:val="555555"/>
          <w:sz w:val="17"/>
        </w:rPr>
        <w:t xml:space="preserve">Zitiervorschlag: § 4 SN-17848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https://recht.nulegal.eu/gesetze/SN-17848/4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